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Russia</w:t>
      </w:r>
      <w:r>
        <w:t xml:space="preserve"> </w:t>
      </w:r>
      <w:r>
        <w:t xml:space="preserve">Saint</w:t>
      </w:r>
      <w:r>
        <w:t xml:space="preserve"> </w:t>
      </w:r>
      <w:r>
        <w:t xml:space="preserve">Petersburg</w:t>
      </w:r>
      <w:r>
        <w:t xml:space="preserve"> </w:t>
      </w:r>
      <w:r>
        <w:t xml:space="preserve">Market</w:t>
      </w:r>
    </w:p>
    <w:bookmarkStart w:id="27" w:name="X97ef67f6f4af27aba50e621a13b39cf512efe29"/>
    <w:p>
      <w:pPr>
        <w:pStyle w:val="Heading1"/>
      </w:pPr>
      <w:r>
        <w:t xml:space="preserve">Sales Report: Musician Performance Analysis in Russia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Music Distribution Network</w:t>
      </w:r>
      <w:r>
        <w:br/>
      </w:r>
      <w:r>
        <w:rPr>
          <w:bCs/>
          <w:b/>
        </w:rPr>
        <w:t xml:space="preserve">Reporting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comprehensive Sales Report details the performance of independent musician ventures within Russia's Saint Petersburg market during Q3 2023. The data reveals a robust 47% year-over-year increase in digital music sales and physical merchandise revenue, positioning Saint Petersburg as a critical growth hub for artists targeting the Russian market. As Russia's cultural capital and second-largest city, Saint Petersburg continues to demonstrate unique consumption patterns that significantly impact musician monetization strategies.</w:t>
      </w:r>
    </w:p>
    <w:bookmarkEnd w:id="20"/>
    <w:bookmarkStart w:id="21" w:name="Xf9cb49f78b34c033268899e5ac6ed98bb119448"/>
    <w:p>
      <w:pPr>
        <w:pStyle w:val="Heading2"/>
      </w:pPr>
      <w:r>
        <w:t xml:space="preserve">II. Market Context: Russia Saint Petersburg Dynamics</w:t>
      </w:r>
    </w:p>
    <w:p>
      <w:pPr>
        <w:pStyle w:val="FirstParagraph"/>
      </w:pPr>
      <w:r>
        <w:t xml:space="preserve">St. Petersburg's music ecosystem operates within a distinct cultural framework shaped by its historical significance as Russia's artistic heartland. The city hosts 17 major concert venues, including the legendary Philharmonia and Petrovsky Park, attracting over 3 million annual visitors. Our analysis confirms that Saint Petersburg accounts for 28% of Russia's total music merchandise sales outside Moscow, driven by its university population (over 500,000 students) and strong classical crossover appeal. This Sales Report identifies St. Petersburg as the most profitable secondary market for international musicians targeting Russia, with a 34% higher average transaction value than other regional cities.</w:t>
      </w:r>
    </w:p>
    <w:bookmarkEnd w:id="21"/>
    <w:bookmarkStart w:id="22" w:name="iii.-sales-performance-breakdown"/>
    <w:p>
      <w:pPr>
        <w:pStyle w:val="Heading2"/>
      </w:pPr>
      <w:r>
        <w:t xml:space="preserve">III. Sales Performance Breakdown</w:t>
      </w:r>
    </w:p>
    <w:p>
      <w:pPr>
        <w:pStyle w:val="FirstParagraph"/>
      </w:pPr>
      <w:r>
        <w:rPr>
          <w:bCs/>
          <w:b/>
        </w:rPr>
        <w:t xml:space="preserve">Digital Sales:</w:t>
      </w:r>
      <w:r>
        <w:t xml:space="preserve"> </w:t>
      </w:r>
      <w:r>
        <w:t xml:space="preserve">Streaming revenue surged by 58% YoY, primarily through Yandex.Music (Russia's leading platform). The musician in focus achieved 1.7M monthly listeners in Saint Petersburg—surpassing Moscow's 1.4M for the first time in our data history. Key drivers included viral TikTok campaigns featuring local folk fusion tracks and strategic partnerships with St. Petersburg-based influencers.</w:t>
      </w:r>
    </w:p>
    <w:p>
      <w:pPr>
        <w:pStyle w:val="BodyText"/>
      </w:pPr>
      <w:r>
        <w:rPr>
          <w:bCs/>
          <w:b/>
        </w:rPr>
        <w:t xml:space="preserve">Physical Merchandise:</w:t>
      </w:r>
      <w:r>
        <w:t xml:space="preserve"> </w:t>
      </w:r>
      <w:r>
        <w:t xml:space="preserve">Tour merchandise sales increased by 63% at venues like The State Hermitage Museum's music series and Marsovo Pole. This represents a strategic shift from Moscow-focused distributions; the musician now maintains dedicated Saint Petersburg inventory, reducing shipping costs by 29%. Bestsellers included "Hermitage Collection" vinyl records (12K units sold) and limited-edition Kizhi Island-themed tees.</w:t>
      </w:r>
    </w:p>
    <w:p>
      <w:pPr>
        <w:pStyle w:val="BodyText"/>
      </w:pPr>
      <w:r>
        <w:rPr>
          <w:bCs/>
          <w:b/>
        </w:rPr>
        <w:t xml:space="preserve">Live Performances:</w:t>
      </w:r>
      <w:r>
        <w:t xml:space="preserve"> </w:t>
      </w:r>
      <w:r>
        <w:t xml:space="preserve">The musician's September concert at Petrovsky Park drew 8,700 attendees—representing 39% of all ticket sales in the city for independent acts. This success directly influenced our Sales Report metrics, with average ticket revenue per attendee rising to ₽2,450 (vs. ₽1,980 in Q2), attributed to premium "Hermitage Experience" VIP packages.</w:t>
      </w:r>
    </w:p>
    <w:bookmarkEnd w:id="22"/>
    <w:bookmarkStart w:id="23" w:name="iv.-strategic-marketing-insights"/>
    <w:p>
      <w:pPr>
        <w:pStyle w:val="Heading2"/>
      </w:pPr>
      <w:r>
        <w:t xml:space="preserve">IV. Strategic Marketing Insights</w:t>
      </w:r>
    </w:p>
    <w:p>
      <w:pPr>
        <w:pStyle w:val="FirstParagraph"/>
      </w:pPr>
      <w:r>
        <w:t xml:space="preserve">This Sales Report emphasizes three Saint Petersburg-specific strategies that drove musician success:</w:t>
      </w:r>
    </w:p>
    <w:p>
      <w:pPr>
        <w:numPr>
          <w:ilvl w:val="0"/>
          <w:numId w:val="1001"/>
        </w:numPr>
        <w:pStyle w:val="Compact"/>
      </w:pPr>
      <w:r>
        <w:rPr>
          <w:bCs/>
          <w:b/>
        </w:rPr>
        <w:t xml:space="preserve">Local Cultural Integration:</w:t>
      </w:r>
      <w:r>
        <w:t xml:space="preserve"> </w:t>
      </w:r>
      <w:r>
        <w:t xml:space="preserve">Collaborating with the Mikhailovsky Theatre for a "Neva River Sound" pop-up event boosted physical sales by 41%. The musician incorporated traditional balalaika elements into modern tracks, resonating deeply with St. Petersburg's cultural identity.</w:t>
      </w:r>
    </w:p>
    <w:p>
      <w:pPr>
        <w:numPr>
          <w:ilvl w:val="0"/>
          <w:numId w:val="1001"/>
        </w:numPr>
        <w:pStyle w:val="Compact"/>
      </w:pPr>
      <w:r>
        <w:rPr>
          <w:bCs/>
          <w:b/>
        </w:rPr>
        <w:t xml:space="preserve">University Engagement:</w:t>
      </w:r>
      <w:r>
        <w:t xml:space="preserve"> </w:t>
      </w:r>
      <w:r>
        <w:t xml:space="preserve">Targeted campus promotions at SPbSU and GITIS (State Institute of Arts) generated 22% of total Q3 sales through exclusive student discount codes. This approach directly addresses the city's youth demographic, which constitutes 48% of our musician's core audience.</w:t>
      </w:r>
    </w:p>
    <w:p>
      <w:pPr>
        <w:numPr>
          <w:ilvl w:val="0"/>
          <w:numId w:val="1001"/>
        </w:numPr>
        <w:pStyle w:val="Compact"/>
      </w:pPr>
      <w:r>
        <w:rPr>
          <w:bCs/>
          <w:b/>
        </w:rPr>
        <w:t xml:space="preserve">Seasonal Campaigns:</w:t>
      </w:r>
      <w:r>
        <w:t xml:space="preserve"> </w:t>
      </w:r>
      <w:r>
        <w:t xml:space="preserve">Leveraging Saint Petersburg's "White Nights" festival period (June-July) with limited edition merchandise and pre-sale bundles increased Q3 sales by 27% compared to off-peak months.</w:t>
      </w:r>
    </w:p>
    <w:bookmarkEnd w:id="23"/>
    <w:bookmarkStart w:id="24" w:name="v.-challenges-in-russia-saint-petersburg"/>
    <w:p>
      <w:pPr>
        <w:pStyle w:val="Heading2"/>
      </w:pPr>
      <w:r>
        <w:t xml:space="preserve">V. Challenges in Russia Saint Petersburg</w:t>
      </w:r>
    </w:p>
    <w:p>
      <w:pPr>
        <w:pStyle w:val="FirstParagraph"/>
      </w:pPr>
      <w:r>
        <w:t xml:space="preserve">Despite growth, the Sales Report identifies persistent challenges unique to the St. Petersburg market:</w:t>
      </w:r>
    </w:p>
    <w:p>
      <w:pPr>
        <w:numPr>
          <w:ilvl w:val="0"/>
          <w:numId w:val="1002"/>
        </w:numPr>
        <w:pStyle w:val="Compact"/>
      </w:pPr>
      <w:r>
        <w:rPr>
          <w:bCs/>
          <w:b/>
        </w:rPr>
        <w:t xml:space="preserve">Logistical Hurdles:</w:t>
      </w:r>
      <w:r>
        <w:t xml:space="preserve"> </w:t>
      </w:r>
      <w:r>
        <w:t xml:space="preserve">Customs delays for imported merchandise (3-5 days vs. 1-2 in Moscow) impacted inventory turnover during peak festival seasons.</w:t>
      </w:r>
    </w:p>
    <w:p>
      <w:pPr>
        <w:numPr>
          <w:ilvl w:val="0"/>
          <w:numId w:val="1002"/>
        </w:numPr>
        <w:pStyle w:val="Compact"/>
      </w:pPr>
      <w:r>
        <w:rPr>
          <w:bCs/>
          <w:b/>
        </w:rPr>
        <w:t xml:space="preserve">Cultural Nuances:</w:t>
      </w:r>
      <w:r>
        <w:t xml:space="preserve"> </w:t>
      </w:r>
      <w:r>
        <w:t xml:space="preserve">Initial misalignment with local musical preferences—early releases focused on Western pop, while Saint Petersburg audiences favored genre-blended "Petersburg Folktronica" (a fusion of classical, electronic and Russian folk).</w:t>
      </w:r>
    </w:p>
    <w:p>
      <w:pPr>
        <w:numPr>
          <w:ilvl w:val="0"/>
          <w:numId w:val="1002"/>
        </w:numPr>
        <w:pStyle w:val="Compact"/>
      </w:pPr>
      <w:r>
        <w:rPr>
          <w:bCs/>
          <w:b/>
        </w:rPr>
        <w:t xml:space="preserve">Payment Infrastructure:</w:t>
      </w:r>
      <w:r>
        <w:t xml:space="preserve"> </w:t>
      </w:r>
      <w:r>
        <w:t xml:space="preserve">34% of sales conversion was lost due to limited card payment options at smaller venues; mobile payments (SberPay) now account for 68% of all transactions in the city.</w:t>
      </w:r>
    </w:p>
    <w:bookmarkEnd w:id="24"/>
    <w:bookmarkStart w:id="25" w:name="vi.-future-outlook-recommendations"/>
    <w:p>
      <w:pPr>
        <w:pStyle w:val="Heading2"/>
      </w:pPr>
      <w:r>
        <w:t xml:space="preserve">VI. Future Outlook &amp; Recommendations</w:t>
      </w:r>
    </w:p>
    <w:p>
      <w:pPr>
        <w:pStyle w:val="FirstParagraph"/>
      </w:pPr>
      <w:r>
        <w:t xml:space="preserve">The Sales Report projects 54% annual growth for musician revenue in Russia Saint Petersburg through 2024. Key recommendations include:</w:t>
      </w:r>
    </w:p>
    <w:p>
      <w:pPr>
        <w:numPr>
          <w:ilvl w:val="0"/>
          <w:numId w:val="1003"/>
        </w:numPr>
        <w:pStyle w:val="Compact"/>
      </w:pPr>
      <w:r>
        <w:rPr>
          <w:bCs/>
          <w:b/>
        </w:rPr>
        <w:t xml:space="preserve">Localize Content:</w:t>
      </w:r>
      <w:r>
        <w:t xml:space="preserve"> </w:t>
      </w:r>
      <w:r>
        <w:t xml:space="preserve">Develop a Saint Petersburg-specific album series with lyrics referencing local landmarks (Nevsky Prospect, Peterhof Gardens) to deepen cultural connection.</w:t>
      </w:r>
    </w:p>
    <w:p>
      <w:pPr>
        <w:numPr>
          <w:ilvl w:val="0"/>
          <w:numId w:val="1003"/>
        </w:numPr>
        <w:pStyle w:val="Compact"/>
      </w:pPr>
      <w:r>
        <w:rPr>
          <w:bCs/>
          <w:b/>
        </w:rPr>
        <w:t xml:space="preserve">Expand Venue Partnerships:</w:t>
      </w:r>
      <w:r>
        <w:t xml:space="preserve"> </w:t>
      </w:r>
      <w:r>
        <w:t xml:space="preserve">Formalize agreements with 3 additional St. Petersburg venues (including the newly renovated Konyushnya concert hall) for exclusive pre-sale access.</w:t>
      </w:r>
    </w:p>
    <w:p>
      <w:pPr>
        <w:numPr>
          <w:ilvl w:val="0"/>
          <w:numId w:val="1003"/>
        </w:numPr>
        <w:pStyle w:val="Compact"/>
      </w:pPr>
      <w:r>
        <w:rPr>
          <w:bCs/>
          <w:b/>
        </w:rPr>
        <w:t xml:space="preserve">Enhance Digital Localization:</w:t>
      </w:r>
      <w:r>
        <w:t xml:space="preserve"> </w:t>
      </w:r>
      <w:r>
        <w:t xml:space="preserve">Implement Yandex.Music "St. Petersburg Mix" playlists curated by local DJs to increase discovery rates among city-specific audiences.</w:t>
      </w:r>
    </w:p>
    <w:bookmarkEnd w:id="25"/>
    <w:bookmarkStart w:id="26" w:name="vii.-conclusion"/>
    <w:p>
      <w:pPr>
        <w:pStyle w:val="Heading2"/>
      </w:pPr>
      <w:r>
        <w:t xml:space="preserve">VII. Conclusion</w:t>
      </w:r>
    </w:p>
    <w:p>
      <w:pPr>
        <w:pStyle w:val="FirstParagraph"/>
      </w:pPr>
      <w:r>
        <w:t xml:space="preserve">This Sales Report conclusively demonstrates that Saint Petersburg has evolved into a strategic priority for musician growth within Russia's music industry. The city's unique blend of historical prestige, youthful energy, and commercial infrastructure creates unparalleled opportunities for artists who adapt to its cultural specificity. As demonstrated by our subject musician's 47% YoY growth in this market, successful entry into Russia Saint Petersburg requires more than standard distribution—it demands authentic integration with the city's artistic soul. Future Sales Reports will track the impact of these localized strategies, confirming Saint Petersburg's position as a bellwether for Russian music market success.</w:t>
      </w:r>
    </w:p>
    <w:p>
      <w:pPr>
        <w:pStyle w:val="BodyText"/>
      </w:pPr>
      <w:r>
        <w:rPr>
          <w:bCs/>
          <w:b/>
        </w:rPr>
        <w:t xml:space="preserve">Appendix: Key Metrics - St. Petersburg (Q3 2023)</w:t>
      </w:r>
    </w:p>
    <w:p>
      <w:pPr>
        <w:pStyle w:val="BodyText"/>
      </w:pPr>
      <w:r>
        <w:t xml:space="preserve">Category</w:t>
      </w:r>
    </w:p>
    <w:p>
      <w:pPr>
        <w:pStyle w:val="BodyText"/>
      </w:pPr>
      <w:r>
        <w:t xml:space="preserve">Revenue</w:t>
      </w:r>
    </w:p>
    <w:p>
      <w:pPr>
        <w:pStyle w:val="BodyText"/>
      </w:pPr>
      <w:r>
        <w:t xml:space="preserve">% of Total Russia Sales</w:t>
      </w:r>
    </w:p>
    <w:p>
      <w:pPr>
        <w:pStyle w:val="BodyText"/>
      </w:pPr>
      <w:r>
        <w:t xml:space="preserve">% YoY Change</w:t>
      </w:r>
    </w:p>
    <w:p>
      <w:pPr>
        <w:pStyle w:val="BodyText"/>
      </w:pPr>
      <w:r>
        <w:t xml:space="preserve">Digital Streaming</w:t>
      </w:r>
    </w:p>
    <w:p>
      <w:pPr>
        <w:pStyle w:val="BodyText"/>
      </w:pPr>
      <w:r>
        <w:t xml:space="preserve">$18,450</w:t>
      </w:r>
    </w:p>
    <w:p>
      <w:pPr>
        <w:pStyle w:val="BodyText"/>
      </w:pPr>
      <w:r>
        <w:t xml:space="preserve">32%</w:t>
      </w:r>
    </w:p>
    <w:p>
      <w:pPr>
        <w:pStyle w:val="BodyText"/>
      </w:pPr>
      <w:r>
        <w:t xml:space="preserve">+58%</w:t>
      </w:r>
    </w:p>
    <w:p>
      <w:pPr>
        <w:pStyle w:val="BodyText"/>
      </w:pPr>
      <w:r>
        <w:t xml:space="preserve">Merchandise Sales</w:t>
      </w:r>
    </w:p>
    <w:p>
      <w:pPr>
        <w:pStyle w:val="BodyText"/>
      </w:pPr>
      <w:r>
        <w:t xml:space="preserve">&lt;</w:t>
      </w:r>
    </w:p>
    <w:p>
      <w:pPr>
        <w:pStyle w:val="BodyText"/>
      </w:pPr>
      <w:r>
        <w:t xml:space="preserve">$12,900</w:t>
      </w:r>
    </w:p>
    <w:p>
      <w:pPr>
        <w:pStyle w:val="BodyText"/>
      </w:pPr>
      <w:r>
        <w:t xml:space="preserve">29%+63%</w:t>
      </w:r>
    </w:p>
    <w:p>
      <w:pPr>
        <w:pStyle w:val="BodyText"/>
      </w:pPr>
      <w:r>
        <w:t xml:space="preserve">Total Live Events</w:t>
      </w:r>
    </w:p>
    <w:p>
      <w:pPr>
        <w:pStyle w:val="BodyText"/>
      </w:pPr>
      <w:r>
        <w:t xml:space="preserve">$27,850</w:t>
      </w:r>
    </w:p>
    <w:p>
      <w:pPr>
        <w:pStyle w:val="BodyText"/>
      </w:pPr>
      <w:r>
        <w:t xml:space="preserve">41%</w:t>
      </w:r>
    </w:p>
    <w:p>
      <w:pPr>
        <w:pStyle w:val="BodyText"/>
      </w:pPr>
      <w:r>
        <w:t xml:space="preserve">Net Revenue (All Channels)</w:t>
      </w:r>
    </w:p>
    <w:p>
      <w:pPr>
        <w:pStyle w:val="BodyText"/>
      </w:pPr>
      <w:r>
        <w:t xml:space="preserve">$59,200</w:t>
      </w:r>
    </w:p>
    <w:p>
      <w:pPr>
        <w:pStyle w:val="BodyText"/>
      </w:pPr>
      <w:r>
        <w:t xml:space="preserve">36.7%</w:t>
      </w:r>
    </w:p>
    <w:p>
      <w:pPr>
        <w:pStyle w:val="BodyText"/>
      </w:pPr>
      <w:r>
        <w:t xml:space="preserve">+47%</w:t>
      </w:r>
    </w:p>
    <w:p>
      <w:pPr>
        <w:pStyle w:val="BodyText"/>
      </w:pPr>
      <w:r>
        <w:rPr>
          <w:iCs/>
          <w:i/>
        </w:rPr>
        <w:t xml:space="preserve">This Sales Report confirms that strategic investment in Russia Saint Petersburg delivers exceptional returns for musicians. The city's cultural authenticity remains the most potent growth driver—where local connection fuels global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Russia Saint Petersburg Market</dc:title>
  <dc:creator/>
  <dc:language>en</dc:language>
  <cp:keywords/>
  <dcterms:created xsi:type="dcterms:W3CDTF">2026-07-24T13:16:54Z</dcterms:created>
  <dcterms:modified xsi:type="dcterms:W3CDTF">2026-07-24T13:16:54Z</dcterms:modified>
</cp:coreProperties>
</file>

<file path=docProps/custom.xml><?xml version="1.0" encoding="utf-8"?>
<Properties xmlns="http://schemas.openxmlformats.org/officeDocument/2006/custom-properties" xmlns:vt="http://schemas.openxmlformats.org/officeDocument/2006/docPropsVTypes"/>
</file>