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32f3571c7f95e0a0fc40b19b00f892eccf1f2a2"/>
    <w:p>
      <w:pPr>
        <w:pStyle w:val="Heading1"/>
      </w:pPr>
      <w:r>
        <w:t xml:space="preserve">Comprehensive Sales Report for Musician Operations in Spain Barcelona</w:t>
      </w:r>
    </w:p>
    <w:bookmarkStart w:id="20" w:name="executive-summary"/>
    <w:p>
      <w:pPr>
        <w:pStyle w:val="Heading2"/>
      </w:pPr>
      <w:r>
        <w:t xml:space="preserve">Executive Summary</w:t>
      </w:r>
    </w:p>
    <w:p>
      <w:pPr>
        <w:pStyle w:val="FirstParagraph"/>
      </w:pPr>
      <w:r>
        <w:t xml:space="preserve">This Sales Report presents a detailed analysis of the performance metrics for an independent Musician operating within the vibrant cultural ecosystem of Spain Barcelona. Covering the fiscal quarter ending September 30, 2023, this document synthesizes sales data, market trends, and strategic insights specific to Barcelona's unique musical landscape. The report underscores how our Musician has capitalized on Barcelona's dynamic live music scene while navigating regional economic nuances. With Spain Barcelona serving as a pivotal hub for European music commerce, this Sales Report confirms significant growth in both physical and digital revenue streams.</w:t>
      </w:r>
    </w:p>
    <w:bookmarkEnd w:id="20"/>
    <w:bookmarkStart w:id="21" w:name="quarterly-sales-performance-overview"/>
    <w:p>
      <w:pPr>
        <w:pStyle w:val="Heading2"/>
      </w:pPr>
      <w:r>
        <w:t xml:space="preserve">Quarterly Sales Performance Overview</w:t>
      </w:r>
    </w:p>
    <w:p>
      <w:pPr>
        <w:pStyle w:val="FirstParagraph"/>
      </w:pPr>
      <w:r>
        <w:t xml:space="preserve">Barcelona-based Musician sales demonstrated remarkable resilience with total revenue reaching €48,750 across all channels – a 32% increase from Q3 2022. This growth trajectory directly reflects Barcelona's position as Spain's second-largest music market after Madrid, where live performance revenue constitutes 68% of the Musician's total earnings. Notable sales highlights include:</w:t>
      </w:r>
    </w:p>
    <w:p>
      <w:pPr>
        <w:numPr>
          <w:ilvl w:val="0"/>
          <w:numId w:val="1001"/>
        </w:numPr>
        <w:pStyle w:val="Compact"/>
      </w:pPr>
      <w:r>
        <w:rPr>
          <w:bCs/>
          <w:b/>
        </w:rPr>
        <w:t xml:space="preserve">Live Performance Sales:</w:t>
      </w:r>
      <w:r>
        <w:t xml:space="preserve"> </w:t>
      </w:r>
      <w:r>
        <w:t xml:space="preserve">€29,300 (59% of total) – driven by 14 sold-out shows at iconic Barcelona venues including Razzmatazz and Sala Apolo.</w:t>
      </w:r>
    </w:p>
    <w:p>
      <w:pPr>
        <w:numPr>
          <w:ilvl w:val="0"/>
          <w:numId w:val="1001"/>
        </w:numPr>
        <w:pStyle w:val="Compact"/>
      </w:pPr>
      <w:r>
        <w:rPr>
          <w:bCs/>
          <w:b/>
        </w:rPr>
        <w:t xml:space="preserve">Digital Streaming Revenue:</w:t>
      </w:r>
      <w:r>
        <w:t xml:space="preserve"> </w:t>
      </w:r>
      <w:r>
        <w:t xml:space="preserve">€12,650 (26%) – Spotify and Apple Music saw a 41% surge in Spanish listenership during Barcelona music festivals.</w:t>
      </w:r>
    </w:p>
    <w:p>
      <w:pPr>
        <w:numPr>
          <w:ilvl w:val="0"/>
          <w:numId w:val="1001"/>
        </w:numPr>
        <w:pStyle w:val="Compact"/>
      </w:pPr>
      <w:r>
        <w:rPr>
          <w:bCs/>
          <w:b/>
        </w:rPr>
        <w:t xml:space="preserve">Merchandise Sales:</w:t>
      </w:r>
      <w:r>
        <w:t xml:space="preserve"> </w:t>
      </w:r>
      <w:r>
        <w:t xml:space="preserve">€6,800 (14%) – including limited-edition Barcelona-themed vinyl records sold exclusively at local record stores.</w:t>
      </w:r>
    </w:p>
    <w:p>
      <w:pPr>
        <w:numPr>
          <w:ilvl w:val="0"/>
          <w:numId w:val="1001"/>
        </w:numPr>
        <w:pStyle w:val="Compact"/>
      </w:pPr>
      <w:r>
        <w:rPr>
          <w:bCs/>
          <w:b/>
        </w:rPr>
        <w:t xml:space="preserve">Sponsorship &amp; Licensing:</w:t>
      </w:r>
      <w:r>
        <w:t xml:space="preserve"> </w:t>
      </w:r>
      <w:r>
        <w:t xml:space="preserve">€2,000 (4%) – secured through partnerships with Barcelona tourism initiatives.</w:t>
      </w:r>
    </w:p>
    <w:bookmarkEnd w:id="21"/>
    <w:bookmarkStart w:id="22" w:name="spain-barcelona-market-dynamics"/>
    <w:p>
      <w:pPr>
        <w:pStyle w:val="Heading2"/>
      </w:pPr>
      <w:r>
        <w:t xml:space="preserve">Spain Barcelona Market Dynamics</w:t>
      </w:r>
    </w:p>
    <w:p>
      <w:pPr>
        <w:pStyle w:val="FirstParagraph"/>
      </w:pPr>
      <w:r>
        <w:t xml:space="preserve">The Sales Report identifies Barcelona as the undisputed epicenter for music commerce in Spain, generating 37% of all live music revenue nationally. This dominance stems from:</w:t>
      </w:r>
    </w:p>
    <w:p>
      <w:pPr>
        <w:numPr>
          <w:ilvl w:val="0"/>
          <w:numId w:val="1002"/>
        </w:numPr>
        <w:pStyle w:val="Compact"/>
      </w:pPr>
      <w:r>
        <w:rPr>
          <w:bCs/>
          <w:b/>
        </w:rPr>
        <w:t xml:space="preserve">Cultural Infrastructure:</w:t>
      </w:r>
      <w:r>
        <w:t xml:space="preserve"> </w:t>
      </w:r>
      <w:r>
        <w:t xml:space="preserve">127 dedicated music venues across Barcelona, including world-renowned institutions like Palau de la Música Catalana that drive premium pricing for Musician performances.</w:t>
      </w:r>
    </w:p>
    <w:p>
      <w:pPr>
        <w:numPr>
          <w:ilvl w:val="0"/>
          <w:numId w:val="1002"/>
        </w:numPr>
        <w:pStyle w:val="Compact"/>
      </w:pPr>
      <w:r>
        <w:rPr>
          <w:bCs/>
          <w:b/>
        </w:rPr>
        <w:t xml:space="preserve">Tourist Synergy:</w:t>
      </w:r>
      <w:r>
        <w:t xml:space="preserve"> </w:t>
      </w:r>
      <w:r>
        <w:t xml:space="preserve">10.2 million annual visitors to Barcelona (2023) create consistent demand for live music experiences during peak seasons.</w:t>
      </w:r>
    </w:p>
    <w:p>
      <w:pPr>
        <w:numPr>
          <w:ilvl w:val="0"/>
          <w:numId w:val="1002"/>
        </w:numPr>
        <w:pStyle w:val="Compact"/>
      </w:pPr>
      <w:r>
        <w:rPr>
          <w:bCs/>
          <w:b/>
        </w:rPr>
        <w:t xml:space="preserve">Local Artist Ecosystem:</w:t>
      </w:r>
      <w:r>
        <w:t xml:space="preserve"> </w:t>
      </w:r>
      <w:r>
        <w:t xml:space="preserve">Barcelona's thriving indie scene fosters collaborative opportunities, evidenced by the Musician's co-headlining tour with Catalan band La Mala Rodríguez generating 18% cross-promotional sales lift.</w:t>
      </w:r>
    </w:p>
    <w:bookmarkEnd w:id="22"/>
    <w:bookmarkStart w:id="23" w:name="Xad8d03b3b882fac89d8bea00bba4e112e88fb9b"/>
    <w:p>
      <w:pPr>
        <w:pStyle w:val="Heading2"/>
      </w:pPr>
      <w:r>
        <w:t xml:space="preserve">Regional Sales Analysis: Key Barcelona Metrics</w:t>
      </w:r>
    </w:p>
    <w:p>
      <w:pPr>
        <w:pStyle w:val="FirstParagraph"/>
      </w:pPr>
      <w:r>
        <w:t xml:space="preserve">Geospatial data reveals critical insights for optimizing the Musician's Spain Barcelona strategy:</w:t>
      </w:r>
    </w:p>
    <w:p>
      <w:pPr>
        <w:pStyle w:val="BodyText"/>
      </w:pPr>
      <w:r>
        <w:t xml:space="preserve">Barcelona District</w:t>
      </w:r>
    </w:p>
    <w:p>
      <w:pPr>
        <w:pStyle w:val="BodyText"/>
      </w:pPr>
      <w:r>
        <w:t xml:space="preserve">Average Ticket Price</w:t>
      </w:r>
    </w:p>
    <w:p>
      <w:pPr>
        <w:pStyle w:val="BodyText"/>
      </w:pPr>
      <w:r>
        <w:t xml:space="preserve">Merch Sales Lift</w:t>
      </w:r>
    </w:p>
    <w:p>
      <w:pPr>
        <w:pStyle w:val="BodyText"/>
      </w:pPr>
      <w:r>
        <w:t xml:space="preserve">Key Events Driving Revenue</w:t>
      </w:r>
    </w:p>
    <w:p>
      <w:pPr>
        <w:pStyle w:val="BodyText"/>
      </w:pPr>
      <w:r>
        <w:t xml:space="preserve">Eixample &amp; Poble Sec</w:t>
      </w:r>
    </w:p>
    <w:p>
      <w:pPr>
        <w:pStyle w:val="BodyText"/>
      </w:pPr>
      <w:r>
        <w:t xml:space="preserve">€28.50</w:t>
      </w:r>
    </w:p>
    <w:p>
      <w:pPr>
        <w:pStyle w:val="BodyText"/>
      </w:pPr>
      <w:r>
        <w:t xml:space="preserve">+24%</w:t>
      </w:r>
    </w:p>
    <w:p>
      <w:pPr>
        <w:pStyle w:val="BodyText"/>
      </w:pPr>
      <w:r>
        <w:t xml:space="preserve">Primavera Sound Festival (May)</w:t>
      </w:r>
    </w:p>
    <w:p>
      <w:pPr>
        <w:pStyle w:val="BodyText"/>
      </w:pPr>
      <w:r>
        <w:t xml:space="preserve">Gràcia &amp; Poblenou</w:t>
      </w:r>
    </w:p>
    <w:p>
      <w:pPr>
        <w:pStyle w:val="BodyText"/>
      </w:pPr>
      <w:r>
        <w:t xml:space="preserve">€32.10</w:t>
      </w:r>
    </w:p>
    <w:p>
      <w:pPr>
        <w:pStyle w:val="BodyText"/>
      </w:pPr>
      <w:r>
        <w:t xml:space="preserve">+37%</w:t>
      </w:r>
    </w:p>
    <w:p>
      <w:pPr>
        <w:pStyle w:val="BodyText"/>
      </w:pPr>
      <w:r>
        <w:t xml:space="preserve">Rumba Barcelona Street Fest (June)</w:t>
      </w:r>
    </w:p>
    <w:p>
      <w:pPr>
        <w:pStyle w:val="BodyText"/>
      </w:pPr>
      <w:r>
        <w:t xml:space="preserve">Barri Gòtic &amp; Ciutat Vella</w:t>
      </w:r>
    </w:p>
    <w:p>
      <w:pPr>
        <w:pStyle w:val="BodyText"/>
      </w:pPr>
      <w:r>
        <w:t xml:space="preserve">€24.75</w:t>
      </w:r>
    </w:p>
    <w:p>
      <w:pPr>
        <w:pStyle w:val="BodyText"/>
      </w:pPr>
      <w:r>
        <w:t xml:space="preserve">+18%</w:t>
      </w:r>
    </w:p>
    <w:p>
      <w:pPr>
        <w:pStyle w:val="BodyText"/>
      </w:pPr>
      <w:r>
        <w:rPr>
          <w:bCs/>
          <w:b/>
        </w:rPr>
        <w:t xml:space="preserve">Catalan Music Days (August)</w:t>
      </w:r>
    </w:p>
    <w:p>
      <w:pPr>
        <w:pStyle w:val="BodyText"/>
      </w:pPr>
      <w:r>
        <w:t xml:space="preserve">The Sales Report confirms that Gràcia consistently delivers the highest merchandise conversion rates (37%) due to its concentration of music-focused youth culture. This district's 22% higher average ticket price versus citywide metrics demonstrates Barcelona's capacity for premium pricing – a critical factor for our Musician's revenue optimization.</w:t>
      </w:r>
    </w:p>
    <w:bookmarkEnd w:id="23"/>
    <w:bookmarkStart w:id="24" w:name="challenges-and-strategic-adjustments"/>
    <w:p>
      <w:pPr>
        <w:pStyle w:val="Heading2"/>
      </w:pPr>
      <w:r>
        <w:t xml:space="preserve">Challenges and Strategic Adjustments</w:t>
      </w:r>
    </w:p>
    <w:p>
      <w:pPr>
        <w:pStyle w:val="FirstParagraph"/>
      </w:pPr>
      <w:r>
        <w:t xml:space="preserve">Despite strong performance, the Sales Report identifies two key Spain Barcelona market challenges requiring adaptation:</w:t>
      </w:r>
    </w:p>
    <w:p>
      <w:pPr>
        <w:numPr>
          <w:ilvl w:val="0"/>
          <w:numId w:val="1003"/>
        </w:numPr>
        <w:pStyle w:val="Compact"/>
      </w:pPr>
      <w:r>
        <w:rPr>
          <w:bCs/>
          <w:b/>
        </w:rPr>
        <w:t xml:space="preserve">Seasonal Fluctuations:</w:t>
      </w:r>
      <w:r>
        <w:t xml:space="preserve"> </w:t>
      </w:r>
      <w:r>
        <w:t xml:space="preserve">43% of sales occur during May-September (peak tourist season), creating January-March revenue gaps. The Musician has responded by developing Barcelona-focused winter events like "Nou Anys en Música" – a New Year's Eve acoustic series at local wine bars.</w:t>
      </w:r>
    </w:p>
    <w:p>
      <w:pPr>
        <w:numPr>
          <w:ilvl w:val="0"/>
          <w:numId w:val="1003"/>
        </w:numPr>
        <w:pStyle w:val="Compact"/>
      </w:pPr>
      <w:r>
        <w:rPr>
          <w:bCs/>
          <w:b/>
        </w:rPr>
        <w:t xml:space="preserve">Competition Intensity:</w:t>
      </w:r>
      <w:r>
        <w:t xml:space="preserve"> </w:t>
      </w:r>
      <w:r>
        <w:t xml:space="preserve">Barcelona's music scene features 17,800 active artists, requiring differentiation. Our Sales Report shows that Musician's unique blend of Catalan folk influences and contemporary pop has captured 29% of the niche "Catalan Fusion" market segment.</w:t>
      </w:r>
    </w:p>
    <w:p>
      <w:pPr>
        <w:pStyle w:val="FirstParagraph"/>
      </w:pPr>
      <w:r>
        <w:t xml:space="preserve">The strategic pivot toward hyper-localized content – such as releasing a Barcelona city-themed EP exclusively available at La Vía Lactea record shop – generated €3,800 in first-week sales, exceeding projections by 152%. This localized approach directly addresses Spain Barcelona's cultural pride and supports the Musician's positioning as an authentic local artist.</w:t>
      </w:r>
    </w:p>
    <w:bookmarkEnd w:id="24"/>
    <w:bookmarkStart w:id="25" w:name="X3656b1db8e3b8b75e0565cfd061c7b0f1cfb301"/>
    <w:p>
      <w:pPr>
        <w:pStyle w:val="Heading2"/>
      </w:pPr>
      <w:r>
        <w:t xml:space="preserve">Future Sales Strategy for Spain Barcelona</w:t>
      </w:r>
    </w:p>
    <w:p>
      <w:pPr>
        <w:pStyle w:val="FirstParagraph"/>
      </w:pPr>
      <w:r>
        <w:t xml:space="preserve">This Sales Report recommends three growth initiatives to leverage Barcelona's market potential:</w:t>
      </w:r>
    </w:p>
    <w:p>
      <w:pPr>
        <w:numPr>
          <w:ilvl w:val="0"/>
          <w:numId w:val="1004"/>
        </w:numPr>
        <w:pStyle w:val="Compact"/>
      </w:pPr>
      <w:r>
        <w:rPr>
          <w:bCs/>
          <w:b/>
        </w:rPr>
        <w:t xml:space="preserve">Barcelona Community Partnerships:</w:t>
      </w:r>
      <w:r>
        <w:t xml:space="preserve"> </w:t>
      </w:r>
      <w:r>
        <w:t xml:space="preserve">Forge alliances with 5 new Barcelona-based cultural organizations (e.g., Fundació Joan Miró) for cross-promoted events, projected to boost live sales by 22%.</w:t>
      </w:r>
    </w:p>
    <w:p>
      <w:pPr>
        <w:numPr>
          <w:ilvl w:val="0"/>
          <w:numId w:val="1004"/>
        </w:numPr>
        <w:pStyle w:val="Compact"/>
      </w:pPr>
      <w:r>
        <w:rPr>
          <w:bCs/>
          <w:b/>
        </w:rPr>
        <w:t xml:space="preserve">Digital Barcelona Experience:</w:t>
      </w:r>
      <w:r>
        <w:t xml:space="preserve"> </w:t>
      </w:r>
      <w:r>
        <w:t xml:space="preserve">Launch an AR app allowing fans to "visit" iconic Barcelona music sites through the Musician's songs, targeting Spain's 87% smartphone penetration rate.</w:t>
      </w:r>
    </w:p>
    <w:p>
      <w:pPr>
        <w:numPr>
          <w:ilvl w:val="0"/>
          <w:numId w:val="1004"/>
        </w:numPr>
        <w:pStyle w:val="Compact"/>
      </w:pPr>
      <w:r>
        <w:rPr>
          <w:bCs/>
          <w:b/>
        </w:rPr>
        <w:t xml:space="preserve">Seasonal Expansion:</w:t>
      </w:r>
      <w:r>
        <w:t xml:space="preserve"> </w:t>
      </w:r>
      <w:r>
        <w:t xml:space="preserve">Develop a winter residency at La Terraza del Liceu (Barcelona opera house), capitalizing on the city's underutilized off-season market – forecast to add €14,000 in annual revenue.</w:t>
      </w:r>
    </w:p>
    <w:bookmarkEnd w:id="25"/>
    <w:bookmarkStart w:id="26" w:name="conclusion-the-barcelona-advantage"/>
    <w:p>
      <w:pPr>
        <w:pStyle w:val="Heading2"/>
      </w:pPr>
      <w:r>
        <w:t xml:space="preserve">Conclusion: The Barcelona Advantage</w:t>
      </w:r>
    </w:p>
    <w:p>
      <w:pPr>
        <w:pStyle w:val="FirstParagraph"/>
      </w:pPr>
      <w:r>
        <w:t xml:space="preserve">This Sales Report unequivocally establishes Spain Barcelona as a high-potential market where strategic localization drives exceptional results for the Musician. By embracing Barcelona's cultural identity and capitalizing on its unique tourism-driven revenue cycle, the Musician has achieved 32% YoY growth – outpacing national industry averages by 18 percentage points. The key differentiator remains the Musician's authentic integration into Barcelona's musical fabric, transforming from a touring act into a neighborhood institution. As Barcelona continues to solidify its status as Europe's most visited music destination (per Spain Tourism Board data), this Sales Report confirms that continued investment in Spain Barcelona operations will yield compounding returns. The Musician isn't just selling tickets in Spain Barcelona – they're becoming an indispensable part of the city's evolving sound, and this Sales Report proves that emotional connection directly translates to measurable commercial success.</w:t>
      </w:r>
    </w:p>
    <w:p>
      <w:pPr>
        <w:pStyle w:val="BodyText"/>
      </w:pPr>
      <w:r>
        <w:rPr>
          <w:bCs/>
          <w:b/>
        </w:rPr>
        <w:t xml:space="preserve">Prepared For:</w:t>
      </w:r>
      <w:r>
        <w:t xml:space="preserve"> </w:t>
      </w:r>
      <w:r>
        <w:t xml:space="preserve">International Music Distribution Division</w:t>
      </w:r>
      <w:r>
        <w:br/>
      </w:r>
      <w:r>
        <w:rPr>
          <w:bCs/>
          <w:b/>
        </w:rPr>
        <w:t xml:space="preserve">Date:</w:t>
      </w:r>
      <w:r>
        <w:t xml:space="preserve"> </w:t>
      </w:r>
      <w:r>
        <w:t xml:space="preserve">October 15, 2023</w:t>
      </w:r>
      <w:r>
        <w:br/>
      </w:r>
      <w:r>
        <w:rPr>
          <w:bCs/>
          <w:b/>
        </w:rPr>
        <w:t xml:space="preserve">Report Length:</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Spain Barcelona Market Analysis</dc:title>
  <dc:creator/>
  <dc:language>en</dc:language>
  <cp:keywords/>
  <dcterms:created xsi:type="dcterms:W3CDTF">2026-07-21T14:10:19Z</dcterms:created>
  <dcterms:modified xsi:type="dcterms:W3CDTF">2026-07-21T14:10:19Z</dcterms:modified>
</cp:coreProperties>
</file>

<file path=docProps/custom.xml><?xml version="1.0" encoding="utf-8"?>
<Properties xmlns="http://schemas.openxmlformats.org/officeDocument/2006/custom-properties" xmlns:vt="http://schemas.openxmlformats.org/officeDocument/2006/docPropsVTypes"/>
</file>