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Musician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fee3490a36ed90ecf939b8ffc28b94c6a74320a"/>
    <w:p>
      <w:pPr>
        <w:pStyle w:val="Heading1"/>
      </w:pPr>
      <w:r>
        <w:t xml:space="preserve">Q3 2023 Sales Performance Report for Professional Musician Operations in United Arab Emirates Abu Dhabi</w:t>
      </w:r>
    </w:p>
    <w:p>
      <w:pPr>
        <w:pStyle w:val="FirstParagraph"/>
      </w:pPr>
      <w:r>
        <w:t xml:space="preserve">This comprehensive Sales Report details the financial and operational performance of our professional Musician services across Abu Dhabi, United Arab Emirates. As a leading entertainment provider specializing in culturally attuned musical experiences, we have witnessed remarkable growth in this strategic market. The report analyzes key sales metrics, market dynamics, and future opportunities specific to the vibrant Abu Dhabi landscape.</w:t>
      </w:r>
    </w:p>
    <w:bookmarkStart w:id="20" w:name="executive-summary"/>
    <w:p>
      <w:pPr>
        <w:pStyle w:val="Heading2"/>
      </w:pPr>
      <w:r>
        <w:t xml:space="preserve">Executive Summary</w:t>
      </w:r>
    </w:p>
    <w:p>
      <w:pPr>
        <w:pStyle w:val="FirstParagraph"/>
      </w:pPr>
      <w:r>
        <w:t xml:space="preserve">The third quarter of 2023 marked a transformative period for our Musician business operations in the United Arab Emirates Abu Dhabi region. With a 37% year-over-year sales increase, we have established Abu Dhabi as our most lucrative market within the UAE, contributing 42% of total regional revenue. This success stems from strategic alignment with cultural events, luxury client expectations, and targeted engagement with both local Emirati communities and international residents in Abu Dhabi. Our Musician services now represent 68% of overall service offerings in this market segment.</w:t>
      </w:r>
    </w:p>
    <w:bookmarkEnd w:id="20"/>
    <w:bookmarkStart w:id="21" w:name="q3-2023-sales-performance-overview"/>
    <w:p>
      <w:pPr>
        <w:pStyle w:val="Heading2"/>
      </w:pPr>
      <w:r>
        <w:t xml:space="preserve">Q3 2023 Sales Performance Overview</w:t>
      </w:r>
    </w:p>
    <w:p>
      <w:pPr>
        <w:pStyle w:val="FirstParagraph"/>
      </w:pPr>
      <w:r>
        <w:rPr>
          <w:bCs/>
          <w:b/>
        </w:rPr>
        <w:t xml:space="preserve">Key Achievement:</w:t>
      </w:r>
      <w:r>
        <w:t xml:space="preserve"> </w:t>
      </w:r>
      <w:r>
        <w:t xml:space="preserve">Surpassed sales targets by 15% through strategic partnerships with Abu Dhabi's premium venues and cultural institutions. Total revenue reached AED 4,850,000 (USD $1,322,568) compared to AED 3,547,000 in Q2 2023.</w:t>
      </w:r>
    </w:p>
    <w:p>
      <w:pPr>
        <w:pStyle w:val="BodyText"/>
      </w:pPr>
      <w:r>
        <w:t xml:space="preserve">Sales Category</w:t>
      </w:r>
    </w:p>
    <w:p>
      <w:pPr>
        <w:pStyle w:val="BodyText"/>
      </w:pPr>
      <w:r>
        <w:t xml:space="preserve">Q3 2023 Revenue (AED)</w:t>
      </w:r>
    </w:p>
    <w:p>
      <w:pPr>
        <w:pStyle w:val="BodyText"/>
      </w:pPr>
      <w:r>
        <w:t xml:space="preserve">YoY Growth</w:t>
      </w:r>
    </w:p>
    <w:p>
      <w:pPr>
        <w:pStyle w:val="BodyText"/>
      </w:pPr>
      <w:r>
        <w:t xml:space="preserve">Market Share in Abu Dhabi</w:t>
      </w:r>
    </w:p>
    <w:p>
      <w:pPr>
        <w:pStyle w:val="BodyText"/>
      </w:pPr>
      <w:r>
        <w:t xml:space="preserve">Premium Concerts &amp; Events</w:t>
      </w:r>
    </w:p>
    <w:p>
      <w:pPr>
        <w:pStyle w:val="BodyText"/>
      </w:pPr>
      <w:r>
        <w:t xml:space="preserve">2,850,000</w:t>
      </w:r>
    </w:p>
    <w:p>
      <w:pPr>
        <w:pStyle w:val="BodyText"/>
      </w:pPr>
      <w:r>
        <w:t xml:space="preserve">41%</w:t>
      </w:r>
    </w:p>
    <w:p>
      <w:pPr>
        <w:pStyle w:val="BodyText"/>
      </w:pPr>
      <w:r>
        <w:t xml:space="preserve">38%</w:t>
      </w:r>
    </w:p>
    <w:p>
      <w:pPr>
        <w:pStyle w:val="BodyText"/>
      </w:pPr>
      <w:r>
        <w:t xml:space="preserve">Total Revenue</w:t>
      </w:r>
    </w:p>
    <w:p>
      <w:pPr>
        <w:pStyle w:val="BodyText"/>
      </w:pPr>
      <w:r>
        <w:rPr>
          <w:bCs/>
          <w:b/>
        </w:rPr>
        <w:t xml:space="preserve">4,850,000</w:t>
      </w:r>
    </w:p>
    <w:p>
      <w:pPr>
        <w:pStyle w:val="BodyText"/>
      </w:pPr>
      <w:r>
        <w:rPr>
          <w:bCs/>
          <w:b/>
        </w:rPr>
        <w:t xml:space="preserve">37%</w:t>
      </w:r>
    </w:p>
    <w:p>
      <w:pPr>
        <w:pStyle w:val="BodyText"/>
      </w:pPr>
      <w:r>
        <w:rPr>
          <w:bCs/>
          <w:b/>
        </w:rPr>
        <w:t xml:space="preserve">42% (UAE)</w:t>
      </w:r>
    </w:p>
    <w:p>
      <w:pPr>
        <w:pStyle w:val="BodyText"/>
      </w:pPr>
      <w:r>
        <w:t xml:space="preserve">Solo Performances</w:t>
      </w:r>
    </w:p>
    <w:p>
      <w:pPr>
        <w:pStyle w:val="BodyText"/>
      </w:pPr>
      <w:r>
        <w:t xml:space="preserve">1,185,000</w:t>
      </w:r>
    </w:p>
    <w:p>
      <w:pPr>
        <w:pStyle w:val="BodyText"/>
      </w:pPr>
      <w:r>
        <w:t xml:space="preserve">29%</w:t>
      </w:r>
    </w:p>
    <w:p>
      <w:pPr>
        <w:pStyle w:val="BodyText"/>
      </w:pPr>
      <w:r>
        <w:t xml:space="preserve">26%</w:t>
      </w:r>
    </w:p>
    <w:p>
      <w:pPr>
        <w:pStyle w:val="BodyText"/>
      </w:pPr>
      <w:r>
        <w:t xml:space="preserve">Total Musician Services Revenue</w:t>
      </w:r>
    </w:p>
    <w:p>
      <w:pPr>
        <w:pStyle w:val="BodyText"/>
      </w:pPr>
      <w:r>
        <w:rPr>
          <w:bCs/>
          <w:b/>
        </w:rPr>
        <w:t xml:space="preserve">3,775,000</w:t>
      </w:r>
    </w:p>
    <w:p>
      <w:pPr>
        <w:pStyle w:val="BodyText"/>
      </w:pPr>
      <w:r>
        <w:rPr>
          <w:bCs/>
          <w:b/>
        </w:rPr>
        <w:t xml:space="preserve">43%</w:t>
      </w:r>
    </w:p>
    <w:p>
      <w:pPr>
        <w:pStyle w:val="BodyText"/>
      </w:pPr>
      <w:r>
        <w:t xml:space="preserve">N/A</w:t>
      </w:r>
    </w:p>
    <w:p>
      <w:pPr>
        <w:pStyle w:val="BodyText"/>
      </w:pPr>
      <w:r>
        <w:t xml:space="preserve">Merchandise &amp; Digital Products</w:t>
      </w:r>
    </w:p>
    <w:p>
      <w:pPr>
        <w:pStyle w:val="BodyText"/>
      </w:pPr>
      <w:r>
        <w:t xml:space="preserve">1,075,000</w:t>
      </w:r>
    </w:p>
    <w:p>
      <w:pPr>
        <w:pStyle w:val="BodyText"/>
      </w:pPr>
      <w:r>
        <w:t xml:space="preserve">22%</w:t>
      </w:r>
    </w:p>
    <w:p>
      <w:pPr>
        <w:pStyle w:val="BodyText"/>
      </w:pPr>
      <w:r>
        <w:t xml:space="preserve">19%</w:t>
      </w:r>
    </w:p>
    <w:bookmarkEnd w:id="21"/>
    <w:bookmarkStart w:id="22" w:name="X88e3ecadd8b4ab221fa2b28857438d480a6759d"/>
    <w:p>
      <w:pPr>
        <w:pStyle w:val="Heading2"/>
      </w:pPr>
      <w:r>
        <w:t xml:space="preserve">Cultural Alignment in Abu Dhabi Market Analysis</w:t>
      </w:r>
    </w:p>
    <w:p>
      <w:pPr>
        <w:pStyle w:val="FirstParagraph"/>
      </w:pPr>
      <w:r>
        <w:t xml:space="preserve">The success of our Musician business in United Arab Emirates Abu Dhabi is deeply rooted in cultural sensitivity. Unlike other Gulf markets, Abu Dhabi prioritizes sophisticated artistic expression that honors Emirati heritage while embracing contemporary global influences. Our Q3 sales reflect this through:</w:t>
      </w:r>
    </w:p>
    <w:p>
      <w:pPr>
        <w:numPr>
          <w:ilvl w:val="0"/>
          <w:numId w:val="1001"/>
        </w:numPr>
        <w:pStyle w:val="Compact"/>
      </w:pPr>
      <w:r>
        <w:rPr>
          <w:bCs/>
          <w:b/>
        </w:rPr>
        <w:t xml:space="preserve">Heritage Integration:</w:t>
      </w:r>
      <w:r>
        <w:t xml:space="preserve"> </w:t>
      </w:r>
      <w:r>
        <w:t xml:space="preserve">76% of concert bookings featured Arabic instrumentation blended with modern genres (e.g., oud-electronica fusion), directly responding to Abu Dhabi's cultural policy at venues like Louvre Abu Dhabi and Qasr Al Watan.</w:t>
      </w:r>
    </w:p>
    <w:p>
      <w:pPr>
        <w:numPr>
          <w:ilvl w:val="0"/>
          <w:numId w:val="1001"/>
        </w:numPr>
        <w:pStyle w:val="Compact"/>
      </w:pPr>
      <w:r>
        <w:rPr>
          <w:bCs/>
          <w:b/>
        </w:rPr>
        <w:t xml:space="preserve">Luxury Client Segmentation:</w:t>
      </w:r>
      <w:r>
        <w:t xml:space="preserve"> </w:t>
      </w:r>
      <w:r>
        <w:t xml:space="preserve">High-value contracts with Abu Dhabi's elite residential communities (Madinat Zayed, Yas Island) generated AED 1,920,000 in revenue, representing 39.6% of total premium sales.</w:t>
      </w:r>
    </w:p>
    <w:p>
      <w:pPr>
        <w:numPr>
          <w:ilvl w:val="0"/>
          <w:numId w:val="1001"/>
        </w:numPr>
        <w:pStyle w:val="Compact"/>
      </w:pPr>
      <w:r>
        <w:rPr>
          <w:bCs/>
          <w:b/>
        </w:rPr>
        <w:t xml:space="preserve">Event Synergy:</w:t>
      </w:r>
      <w:r>
        <w:t xml:space="preserve"> </w:t>
      </w:r>
      <w:r>
        <w:t xml:space="preserve">Strategic partnerships with Abu Dhabi Festival and Etihad Airways' events drove 47% of Q3 ticket sales through bundled packages.</w:t>
      </w:r>
    </w:p>
    <w:bookmarkEnd w:id="22"/>
    <w:bookmarkStart w:id="23" w:name="X19847c4b826b34414073c09323da6c7e1b5efbe"/>
    <w:p>
      <w:pPr>
        <w:pStyle w:val="Heading2"/>
      </w:pPr>
      <w:r>
        <w:t xml:space="preserve">Challenges in United Arab Emirates Abu Dhabi Operations</w:t>
      </w:r>
    </w:p>
    <w:p>
      <w:pPr>
        <w:pStyle w:val="FirstParagraph"/>
      </w:pPr>
      <w:r>
        <w:t xml:space="preserve">Despite strong performance, we identified critical challenges unique to the Abu Dhabi market that require strategic adaptation:</w:t>
      </w:r>
    </w:p>
    <w:p>
      <w:pPr>
        <w:numPr>
          <w:ilvl w:val="0"/>
          <w:numId w:val="1002"/>
        </w:numPr>
        <w:pStyle w:val="Compact"/>
      </w:pPr>
      <w:r>
        <w:rPr>
          <w:bCs/>
          <w:b/>
        </w:rPr>
        <w:t xml:space="preserve">Regulatory Nuances:</w:t>
      </w:r>
      <w:r>
        <w:t xml:space="preserve"> </w:t>
      </w:r>
      <w:r>
        <w:t xml:space="preserve">Cultural permits for live performances require 45-day processing in Abu Dhabi vs. 15 days in Dubai. This delayed two high-profile events, resulting in AED 210,000 in potential revenue loss.</w:t>
      </w:r>
    </w:p>
    <w:p>
      <w:pPr>
        <w:numPr>
          <w:ilvl w:val="0"/>
          <w:numId w:val="1002"/>
        </w:numPr>
        <w:pStyle w:val="Compact"/>
      </w:pPr>
      <w:r>
        <w:rPr>
          <w:bCs/>
          <w:b/>
        </w:rPr>
        <w:t xml:space="preserve">Talent Acquisition:</w:t>
      </w:r>
      <w:r>
        <w:t xml:space="preserve"> </w:t>
      </w:r>
      <w:r>
        <w:t xml:space="preserve">Local Musician talent pool remains limited; we must import 68% of performers for premium engagements. Abu Dhabi's strict visa regulations add 3-week processing time for international artists.</w:t>
      </w:r>
    </w:p>
    <w:p>
      <w:pPr>
        <w:numPr>
          <w:ilvl w:val="0"/>
          <w:numId w:val="1002"/>
        </w:numPr>
        <w:pStyle w:val="Compact"/>
      </w:pPr>
      <w:r>
        <w:rPr>
          <w:bCs/>
          <w:b/>
        </w:rPr>
        <w:t xml:space="preserve">Seasonal Demand Peaks:</w:t>
      </w:r>
      <w:r>
        <w:t xml:space="preserve"> </w:t>
      </w:r>
      <w:r>
        <w:t xml:space="preserve">Q3 experiences a lull post-summer tourism (August-September), causing a 22% drop in non-event bookings compared to Q2 peak season.</w:t>
      </w:r>
    </w:p>
    <w:bookmarkEnd w:id="23"/>
    <w:bookmarkStart w:id="24" w:name="Xed3b53176faeccb0bb04d1288244a9cc3f6232c"/>
    <w:p>
      <w:pPr>
        <w:pStyle w:val="Heading2"/>
      </w:pPr>
      <w:r>
        <w:t xml:space="preserve">Future Sales Strategy: Abu Dhabi-Centric Initiatives</w:t>
      </w:r>
    </w:p>
    <w:p>
      <w:pPr>
        <w:pStyle w:val="FirstParagraph"/>
      </w:pPr>
      <w:r>
        <w:rPr>
          <w:bCs/>
          <w:b/>
        </w:rPr>
        <w:t xml:space="preserve">Proposed Solution:</w:t>
      </w:r>
      <w:r>
        <w:t xml:space="preserve"> </w:t>
      </w:r>
      <w:r>
        <w:t xml:space="preserve">Launch "Abu Dhabi Soundscape" program - a year-round series of intimate cultural performances in heritage sites (e.g., Qasr Al Hosn, Sheikh Zayed Mosque courtyard), targeting local Emirati families and diplomatic communities. Projected to generate AED 1,800,000 annually with 75% gross margins.</w:t>
      </w:r>
    </w:p>
    <w:p>
      <w:pPr>
        <w:pStyle w:val="BodyText"/>
      </w:pPr>
      <w:r>
        <w:t xml:space="preserve">Our sales roadmap for Abu Dhabi includes:</w:t>
      </w:r>
    </w:p>
    <w:p>
      <w:pPr>
        <w:numPr>
          <w:ilvl w:val="0"/>
          <w:numId w:val="1003"/>
        </w:numPr>
        <w:pStyle w:val="Compact"/>
      </w:pPr>
      <w:r>
        <w:rPr>
          <w:bCs/>
          <w:b/>
        </w:rPr>
        <w:t xml:space="preserve">Localized Talent Development:</w:t>
      </w:r>
      <w:r>
        <w:t xml:space="preserve"> </w:t>
      </w:r>
      <w:r>
        <w:t xml:space="preserve">Partnering with Abu Dhabi Music Academy to train 12 Emirati Musician candidates by Q2 2024, reducing import dependency.</w:t>
      </w:r>
    </w:p>
    <w:p>
      <w:pPr>
        <w:numPr>
          <w:ilvl w:val="0"/>
          <w:numId w:val="1003"/>
        </w:numPr>
        <w:pStyle w:val="Compact"/>
      </w:pPr>
      <w:r>
        <w:rPr>
          <w:bCs/>
          <w:b/>
        </w:rPr>
        <w:t xml:space="preserve">Hyper-Targeted Digital Campaigns:</w:t>
      </w:r>
      <w:r>
        <w:t xml:space="preserve"> </w:t>
      </w:r>
      <w:r>
        <w:t xml:space="preserve">Utilizing UAE social media trends (e.g., TikTok challenges featuring local artists) to reach Abu Dhabi's youth demographic (ages 18-35), projected to increase digital merchandise sales by 30%.</w:t>
      </w:r>
    </w:p>
    <w:p>
      <w:pPr>
        <w:numPr>
          <w:ilvl w:val="0"/>
          <w:numId w:val="1003"/>
        </w:numPr>
        <w:pStyle w:val="Compact"/>
      </w:pPr>
      <w:r>
        <w:rPr>
          <w:bCs/>
          <w:b/>
        </w:rPr>
        <w:t xml:space="preserve">Luxury Package Expansion:</w:t>
      </w:r>
      <w:r>
        <w:t xml:space="preserve"> </w:t>
      </w:r>
      <w:r>
        <w:t xml:space="preserve">Creating "Abu Dhabi Heritage Suites" with premium ticketing, private dining, and meet-and-greet opportunities at venues like Yas Island's Ferrari World for AED 450+ per package.</w:t>
      </w:r>
    </w:p>
    <w:bookmarkEnd w:id="24"/>
    <w:bookmarkStart w:id="25" w:name="X8c6a0e923fd7daae9317885fe0f65dba9f3a5e6"/>
    <w:p>
      <w:pPr>
        <w:pStyle w:val="Heading2"/>
      </w:pPr>
      <w:r>
        <w:t xml:space="preserve">Conclusion: Strategic Positioning in Abu Dhabi</w:t>
      </w:r>
    </w:p>
    <w:p>
      <w:pPr>
        <w:pStyle w:val="FirstParagraph"/>
      </w:pPr>
      <w:r>
        <w:t xml:space="preserve">This Sales Report confirms that the United Arab Emirates Abu Dhabi market has become indispensable to our global Musician business strategy. The city's unique cultural landscape – where tradition meets modernity – creates unparalleled opportunities for premium musical experiences. Our Q3 performance demonstrates that culturally intelligent service delivery directly correlates with revenue growth, as evidenced by our 37% YoY sales increase in this region.</w:t>
      </w:r>
    </w:p>
    <w:p>
      <w:pPr>
        <w:pStyle w:val="BodyText"/>
      </w:pPr>
      <w:r>
        <w:t xml:space="preserve">For the Musician business to maintain its leadership position in Abu Dhabi, continuous investment in local cultural partnerships and talent development is non-negotiable. The United Arab Emirates government's increasing support for arts through initiatives like "Abu Dhabi Culture" underscores the long-term viability of this market. We project Q4 2023 revenue to exceed AED 5,500,000 with our new Abu Dhabi Soundscape program gaining traction.</w:t>
      </w:r>
    </w:p>
    <w:p>
      <w:pPr>
        <w:pStyle w:val="BodyText"/>
      </w:pPr>
      <w:r>
        <w:t xml:space="preserve">As a professional Musician services provider operating within the United Arab Emirates Abu Dhabi ecosystem, we are not merely selling performances – we are curating cultural experiences that resonate with both Emirati identity and global artistic excellence. This alignment is the cornerstone of our sustainable sales growth in this premium market. Moving forward, we will deepen our integration with Abu Dhabi's cultural institutions while maintaining strict adherence to local customs and regulations that define success here.</w:t>
      </w:r>
    </w:p>
    <w:p>
      <w:pPr>
        <w:pStyle w:val="BodyText"/>
      </w:pPr>
      <w:r>
        <w:rPr>
          <w:iCs/>
          <w:i/>
        </w:rPr>
        <w:t xml:space="preserve">Prepared for: Board of Directors, United Arab Emirates Abu Dhabi Operations</w:t>
      </w:r>
      <w:r>
        <w:br/>
      </w: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Musician Sales Report - Q3 2023</dc:title>
  <dc:creator/>
  <dc:language>en</dc:language>
  <cp:keywords/>
  <dcterms:created xsi:type="dcterms:W3CDTF">2025-12-10T07:10:31Z</dcterms:created>
  <dcterms:modified xsi:type="dcterms:W3CDTF">2025-12-10T07:10:31Z</dcterms:modified>
</cp:coreProperties>
</file>

<file path=docProps/custom.xml><?xml version="1.0" encoding="utf-8"?>
<Properties xmlns="http://schemas.openxmlformats.org/officeDocument/2006/custom-properties" xmlns:vt="http://schemas.openxmlformats.org/officeDocument/2006/docPropsVTypes"/>
</file>