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30" w:name="X613a492fe58f035b77342273354453b964cd39b"/>
    <w:p>
      <w:pPr>
        <w:pStyle w:val="Heading1"/>
      </w:pPr>
      <w:r>
        <w:t xml:space="preserve">Sales Report: Musician Service Performance in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United States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musical service offerings across the United States Houston market. The data reveals a robust expansion in musician bookings and related revenue streams, driven by Houston's unique cultural landscape and growing demand for live entertainment. Our Musician service portfolio achieved a 28% year-over-year growth in sales volume within United States Houston, contributing significantly to regional revenue targets. This report confirms that strategic investment in local Musician partnerships remains critical to sustaining our competitive position in the dynamic Houston entertainment ecosystem.</w:t>
      </w:r>
    </w:p>
    <w:bookmarkEnd w:id="20"/>
    <w:bookmarkStart w:id="21" w:name="X39f01cfde15a7f1b9b32aa8b52b9c10c407b0ab"/>
    <w:p>
      <w:pPr>
        <w:pStyle w:val="Heading2"/>
      </w:pPr>
      <w:r>
        <w:t xml:space="preserve">II. Houston Market Analysis: The Musician Demand Landscape</w:t>
      </w:r>
    </w:p>
    <w:p>
      <w:pPr>
        <w:pStyle w:val="FirstParagraph"/>
      </w:pPr>
      <w:r>
        <w:t xml:space="preserve">United States Houston represents one of the most vibrant music markets in the country, with over 1,200 active venues and a population exceeding 7 million that exhibits diverse musical preferences. This Sales Report identifies three key factors driving Musician service demand:</w:t>
      </w:r>
    </w:p>
    <w:p>
      <w:pPr>
        <w:numPr>
          <w:ilvl w:val="0"/>
          <w:numId w:val="1001"/>
        </w:numPr>
        <w:pStyle w:val="Compact"/>
      </w:pPr>
      <w:r>
        <w:rPr>
          <w:bCs/>
          <w:b/>
        </w:rPr>
        <w:t xml:space="preserve">Cultural Diversity:</w:t>
      </w:r>
      <w:r>
        <w:t xml:space="preserve"> </w:t>
      </w:r>
      <w:r>
        <w:t xml:space="preserve">Houston's demographic makeup (71% non-white) creates strong demand for genre-specific Musicians, including Tejano, Afrobeat, and Houston hip-hop artists.</w:t>
      </w:r>
    </w:p>
    <w:p>
      <w:pPr>
        <w:numPr>
          <w:ilvl w:val="0"/>
          <w:numId w:val="1001"/>
        </w:numPr>
        <w:pStyle w:val="Compact"/>
      </w:pPr>
      <w:r>
        <w:rPr>
          <w:bCs/>
          <w:b/>
        </w:rPr>
        <w:t xml:space="preserve">Event Infrastructure:</w:t>
      </w:r>
      <w:r>
        <w:t xml:space="preserve"> </w:t>
      </w:r>
      <w:r>
        <w:t xml:space="preserve">Major venues like Minute Maid Park (capacity 41,000) and The Summit (25,000 capacity) consistently book Musician services for concerts and corporate events.</w:t>
      </w:r>
    </w:p>
    <w:p>
      <w:pPr>
        <w:numPr>
          <w:ilvl w:val="0"/>
          <w:numId w:val="1001"/>
        </w:numPr>
        <w:pStyle w:val="Compact"/>
      </w:pPr>
      <w:r>
        <w:rPr>
          <w:bCs/>
          <w:b/>
        </w:rPr>
        <w:t xml:space="preserve">Economic Growth:</w:t>
      </w:r>
      <w:r>
        <w:t xml:space="preserve"> </w:t>
      </w:r>
      <w:r>
        <w:t xml:space="preserve">Houston's status as a top-15 global city has increased corporate event spending by 37% in 2023, directly boosting Musician service contracts.</w:t>
      </w:r>
    </w:p>
    <w:bookmarkEnd w:id="21"/>
    <w:bookmarkStart w:id="22" w:name="X072b5ce18fab5e9263a6638e88ba1b20fa1b47a"/>
    <w:p>
      <w:pPr>
        <w:pStyle w:val="Heading2"/>
      </w:pPr>
      <w:r>
        <w:t xml:space="preserve">III. Sales Performance Breakdown: Musician Service Metrics</w:t>
      </w:r>
    </w:p>
    <w:p>
      <w:pPr>
        <w:pStyle w:val="FirstParagraph"/>
      </w:pPr>
      <w:r>
        <w:t xml:space="preserve">The following table summarizes key sales metrics for our Musician services across United States Houston: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2022 Sales ($)</w:t>
            </w:r>
          </w:p>
        </w:tc>
        <w:tc>
          <w:tcPr/>
          <w:p>
            <w:pPr>
              <w:pStyle w:val="Compact"/>
              <w:jc w:val="left"/>
            </w:pPr>
            <w:r>
              <w:t xml:space="preserve">Q3 2023 Sales ($)</w:t>
            </w:r>
          </w:p>
        </w:tc>
        <w:tc>
          <w:tcPr/>
          <w:p>
            <w:pPr>
              <w:pStyle w:val="Compact"/>
              <w:jc w:val="left"/>
            </w:pPr>
            <w:r>
              <w:t xml:space="preserve">% Change</w:t>
            </w:r>
          </w:p>
        </w:tc>
      </w:tr>
      <w:tr>
        <w:tc>
          <w:tcPr/>
          <w:p>
            <w:pPr>
              <w:pStyle w:val="Compact"/>
              <w:jc w:val="left"/>
            </w:pPr>
            <w:r>
              <w:t xml:space="preserve">Wedding &amp; Social Events</w:t>
            </w:r>
          </w:p>
        </w:tc>
        <w:tc>
          <w:tcPr/>
          <w:p>
            <w:pPr>
              <w:pStyle w:val="Compact"/>
              <w:jc w:val="left"/>
            </w:pPr>
            <w:r>
              <w:t xml:space="preserve">185,400</w:t>
            </w:r>
          </w:p>
        </w:tc>
        <w:tc>
          <w:tcPr/>
          <w:p>
            <w:pPr>
              <w:pStyle w:val="Compact"/>
              <w:jc w:val="left"/>
            </w:pPr>
            <w:r>
              <w:t xml:space="preserve">247,600</w:t>
            </w:r>
          </w:p>
        </w:tc>
        <w:tc>
          <w:tcPr/>
          <w:p>
            <w:pPr>
              <w:pStyle w:val="Compact"/>
              <w:jc w:val="left"/>
            </w:pPr>
            <w:r>
              <w:t xml:space="preserve">+33.5%</w:t>
            </w:r>
          </w:p>
        </w:tc>
      </w:tr>
      <w:tr>
        <w:tc>
          <w:tcPr/>
          <w:p>
            <w:pPr>
              <w:pStyle w:val="Compact"/>
              <w:jc w:val="left"/>
            </w:pPr>
            <w:r>
              <w:t xml:space="preserve">Corporate Events (Conferences/Parties)</w:t>
            </w:r>
          </w:p>
        </w:tc>
        <w:tc>
          <w:tcPr/>
          <w:p>
            <w:pPr>
              <w:pStyle w:val="Compact"/>
              <w:jc w:val="left"/>
            </w:pPr>
            <w:r>
              <w:t xml:space="preserve">128,750</w:t>
            </w:r>
          </w:p>
        </w:tc>
        <w:tc>
          <w:tcPr/>
          <w:p>
            <w:pPr>
              <w:pStyle w:val="Compact"/>
              <w:jc w:val="left"/>
            </w:pPr>
            <w:r>
              <w:t xml:space="preserve">194,200</w:t>
            </w:r>
          </w:p>
        </w:tc>
        <w:tc>
          <w:tcPr/>
          <w:p>
            <w:pPr>
              <w:pStyle w:val="Compact"/>
              <w:jc w:val="left"/>
            </w:pPr>
            <w:r>
              <w:t xml:space="preserve">+50.8%</w:t>
            </w:r>
          </w:p>
        </w:tc>
      </w:tr>
      <w:tr>
        <w:tc>
          <w:tcPr/>
          <w:p>
            <w:pPr>
              <w:pStyle w:val="Compact"/>
              <w:jc w:val="left"/>
            </w:pPr>
            <w:r>
              <w:t xml:space="preserve">Venue Residencies (The Summit, Bayou Music Center)</w:t>
            </w:r>
          </w:p>
        </w:tc>
        <w:tc>
          <w:tcPr/>
          <w:p>
            <w:pPr>
              <w:pStyle w:val="Compact"/>
              <w:jc w:val="left"/>
            </w:pPr>
            <w:r>
              <w:t xml:space="preserve">312,900</w:t>
            </w:r>
          </w:p>
        </w:tc>
        <w:tc>
          <w:tcPr/>
          <w:p>
            <w:pPr>
              <w:pStyle w:val="Compact"/>
              <w:jc w:val="left"/>
            </w:pPr>
            <w:r>
              <w:t xml:space="preserve">417,500</w:t>
            </w:r>
          </w:p>
        </w:tc>
        <w:tc>
          <w:tcPr/>
          <w:p>
            <w:pPr>
              <w:pStyle w:val="Compact"/>
              <w:jc w:val="left"/>
            </w:pPr>
            <w:r>
              <w:t xml:space="preserve">+33.4%</w:t>
            </w:r>
          </w:p>
        </w:tc>
      </w:tr>
      <w:tr>
        <w:tc>
          <w:tcPr/>
          <w:p>
            <w:pPr>
              <w:pStyle w:val="Compact"/>
              <w:jc w:val="left"/>
            </w:pPr>
            <w:r>
              <w:t xml:space="preserve">Total Musician Service Revenue</w:t>
            </w:r>
          </w:p>
        </w:tc>
        <w:tc>
          <w:tcPr/>
          <w:p>
            <w:pPr>
              <w:pStyle w:val="Compact"/>
              <w:jc w:val="left"/>
            </w:pPr>
            <w:r>
              <w:t xml:space="preserve">$627,050</w:t>
            </w:r>
          </w:p>
        </w:tc>
        <w:tc>
          <w:tcPr/>
          <w:p>
            <w:pPr>
              <w:pStyle w:val="Compact"/>
              <w:jc w:val="left"/>
            </w:pPr>
            <w:r>
              <w:t xml:space="preserve">$859,300</w:t>
            </w:r>
          </w:p>
        </w:tc>
        <w:tc>
          <w:tcPr/>
          <w:p>
            <w:pPr>
              <w:pStyle w:val="Compact"/>
              <w:jc w:val="left"/>
            </w:pPr>
            <w:r>
              <w:rPr>
                <w:bCs/>
                <w:b/>
              </w:rPr>
              <w:t xml:space="preserve">+36.9%</w:t>
            </w:r>
          </w:p>
        </w:tc>
      </w:tr>
    </w:tbl>
    <w:bookmarkEnd w:id="22"/>
    <w:bookmarkStart w:id="26" w:name="Xe272ecd415544fe2d9f9e11400af6411119aae6"/>
    <w:p>
      <w:pPr>
        <w:pStyle w:val="Heading2"/>
      </w:pPr>
      <w:r>
        <w:t xml:space="preserve">IV. Houston-Specific Success Stories: Musician Impact on Sales</w:t>
      </w:r>
    </w:p>
    <w:p>
      <w:pPr>
        <w:pStyle w:val="FirstParagraph"/>
      </w:pPr>
      <w:r>
        <w:t xml:space="preserve">Three Houston-based initiatives demonstrate how strategic Musician partnerships directly drove sales growth:</w:t>
      </w:r>
    </w:p>
    <w:bookmarkStart w:id="23" w:name="a.-rodeohouston-2023-partnership"/>
    <w:p>
      <w:pPr>
        <w:pStyle w:val="Heading3"/>
      </w:pPr>
      <w:r>
        <w:t xml:space="preserve">A. RodeoHouston 2023 Partnership</w:t>
      </w:r>
    </w:p>
    <w:p>
      <w:pPr>
        <w:pStyle w:val="FirstParagraph"/>
      </w:pPr>
      <w:r>
        <w:t xml:space="preserve">We secured exclusive booking rights for 17 Musician acts across RodeoHouston's main stages, generating $142,800 in service revenue. This included securing local Houston artist "The Bama Boyz" as headline performers, resulting in a 22% increase in venue concession sales attributed to their performance.</w:t>
      </w:r>
    </w:p>
    <w:bookmarkEnd w:id="23"/>
    <w:bookmarkStart w:id="24" w:name="X72439dc99770122bb55621ad26d561fd3a34575"/>
    <w:p>
      <w:pPr>
        <w:pStyle w:val="Heading3"/>
      </w:pPr>
      <w:r>
        <w:t xml:space="preserve">B. Downtown Houston Corporate Wellness Program</w:t>
      </w:r>
    </w:p>
    <w:p>
      <w:pPr>
        <w:pStyle w:val="FirstParagraph"/>
      </w:pPr>
      <w:r>
        <w:t xml:space="preserve">A partnership with 8 major corporations (including Shell and Enron) resulted in monthly Musician sessions for employee events. This initiative generated $56,400 in recurring quarterly revenue, with client retention at 92%—significantly above regional averages.</w:t>
      </w:r>
    </w:p>
    <w:bookmarkEnd w:id="24"/>
    <w:bookmarkStart w:id="25" w:name="c.-houston-arts-fest-expansion"/>
    <w:p>
      <w:pPr>
        <w:pStyle w:val="Heading3"/>
      </w:pPr>
      <w:r>
        <w:t xml:space="preserve">C. Houston Arts Fest Expansion</w:t>
      </w:r>
    </w:p>
    <w:p>
      <w:pPr>
        <w:pStyle w:val="FirstParagraph"/>
      </w:pPr>
      <w:r>
        <w:t xml:space="preserve">Our Musician service became the exclusive entertainment provider for Houston Arts Fest (over 750,000 attendees), securing $189,150 in revenue. Local musicians accounted for 64% of booked acts, driving community engagement that increased overall festival ticket sales by 29%.</w:t>
      </w:r>
    </w:p>
    <w:bookmarkEnd w:id="25"/>
    <w:bookmarkEnd w:id="26"/>
    <w:bookmarkStart w:id="27" w:name="X6a858a18852f026ef2384bcd4b2dcae92f9faa2"/>
    <w:p>
      <w:pPr>
        <w:pStyle w:val="Heading2"/>
      </w:pPr>
      <w:r>
        <w:t xml:space="preserve">V. Competitive Positioning: United States Houston Market Share</w:t>
      </w:r>
    </w:p>
    <w:p>
      <w:pPr>
        <w:pStyle w:val="FirstParagraph"/>
      </w:pPr>
      <w:r>
        <w:t xml:space="preserve">According to the Houston Music Industry Coalition (HMIC), our company now holds a 31.5% market share in musician service bookings across United States Houston, up from 24.7% in Q3 2022. This growth stems from three strategic advantages:</w:t>
      </w:r>
    </w:p>
    <w:p>
      <w:pPr>
        <w:numPr>
          <w:ilvl w:val="0"/>
          <w:numId w:val="1002"/>
        </w:numPr>
        <w:pStyle w:val="Compact"/>
      </w:pPr>
      <w:r>
        <w:rPr>
          <w:bCs/>
          <w:b/>
        </w:rPr>
        <w:t xml:space="preserve">Local Artist Network:</w:t>
      </w:r>
      <w:r>
        <w:t xml:space="preserve"> </w:t>
      </w:r>
      <w:r>
        <w:t xml:space="preserve">Our Houston-based Musician talent pool has grown by 41% since January, including partnerships with the Houston Conservatory of Music.</w:t>
      </w:r>
    </w:p>
    <w:p>
      <w:pPr>
        <w:numPr>
          <w:ilvl w:val="0"/>
          <w:numId w:val="1002"/>
        </w:numPr>
        <w:pStyle w:val="Compact"/>
      </w:pPr>
      <w:r>
        <w:rPr>
          <w:bCs/>
          <w:b/>
        </w:rPr>
        <w:t xml:space="preserve">Technology Integration:</w:t>
      </w:r>
      <w:r>
        <w:t xml:space="preserve"> </w:t>
      </w:r>
      <w:r>
        <w:t xml:space="preserve">The "HoustonBeat" booking platform reduced contract processing time by 63%, increasing sales conversion rates.</w:t>
      </w:r>
    </w:p>
    <w:p>
      <w:pPr>
        <w:numPr>
          <w:ilvl w:val="0"/>
          <w:numId w:val="1002"/>
        </w:numPr>
        <w:pStyle w:val="Compact"/>
      </w:pPr>
      <w:r>
        <w:rPr>
          <w:bCs/>
          <w:b/>
        </w:rPr>
        <w:t xml:space="preserve">Cultural Intelligence:</w:t>
      </w:r>
      <w:r>
        <w:t xml:space="preserve"> </w:t>
      </w:r>
      <w:r>
        <w:t xml:space="preserve">Our Houston team's understanding of local music preferences drives higher client satisfaction (4.7/5 average rating).</w:t>
      </w:r>
    </w:p>
    <w:bookmarkEnd w:id="27"/>
    <w:bookmarkStart w:id="28" w:name="X5c7156ed8219e838e21e81b816940a9d642acd4"/>
    <w:p>
      <w:pPr>
        <w:pStyle w:val="Heading2"/>
      </w:pPr>
      <w:r>
        <w:t xml:space="preserve">VI. Challenges and Strategic Recommendations</w:t>
      </w:r>
    </w:p>
    <w:p>
      <w:pPr>
        <w:pStyle w:val="FirstParagraph"/>
      </w:pPr>
      <w:r>
        <w:t xml:space="preserve">Despite strong performance, two challenges require attention for sustained growth in United States Houston:</w:t>
      </w:r>
    </w:p>
    <w:p>
      <w:pPr>
        <w:numPr>
          <w:ilvl w:val="0"/>
          <w:numId w:val="1003"/>
        </w:numPr>
        <w:pStyle w:val="Compact"/>
      </w:pPr>
      <w:r>
        <w:rPr>
          <w:bCs/>
          <w:b/>
        </w:rPr>
        <w:t xml:space="preserve">Talent Acquisition:</w:t>
      </w:r>
      <w:r>
        <w:t xml:space="preserve"> </w:t>
      </w:r>
      <w:r>
        <w:t xml:space="preserve">High demand for local Musician services has increased talent acquisition costs by 18%. Recommendation: Establish a "Houston Musician Apprenticeship Program" with community colleges.</w:t>
      </w:r>
    </w:p>
    <w:p>
      <w:pPr>
        <w:numPr>
          <w:ilvl w:val="0"/>
          <w:numId w:val="1003"/>
        </w:numPr>
        <w:pStyle w:val="Compact"/>
      </w:pPr>
      <w:r>
        <w:rPr>
          <w:bCs/>
          <w:b/>
        </w:rPr>
        <w:t xml:space="preserve">Seasonality:</w:t>
      </w:r>
      <w:r>
        <w:t xml:space="preserve"> </w:t>
      </w:r>
      <w:r>
        <w:t xml:space="preserve">Q4 bookings typically drop 22% due to holiday scheduling conflicts. Recommendation: Develop bundled corporate event packages for December, targeting year-end business needs.</w:t>
      </w:r>
    </w:p>
    <w:bookmarkEnd w:id="28"/>
    <w:bookmarkStart w:id="29" w:name="X05c09f57f4a6db9accd8d00a3d2d0289853ab7b"/>
    <w:p>
      <w:pPr>
        <w:pStyle w:val="Heading2"/>
      </w:pPr>
      <w:r>
        <w:t xml:space="preserve">VII. Conclusion: The Future of Musician Services in Houston</w:t>
      </w:r>
    </w:p>
    <w:p>
      <w:pPr>
        <w:pStyle w:val="FirstParagraph"/>
      </w:pPr>
      <w:r>
        <w:t xml:space="preserve">This Sales Report confirms that the United States Houston market continues to be a critical growth engine for our Musician service portfolio. As demonstrated by Q3 2023 performance, strategic investment in local talent development and culturally relevant programming directly correlates with increased revenue streams. With Houston's music economy projected to grow at 5.8% annually through 2025 (City of Houston Economic Development Report), we recommend doubling down on Musician partnerships within this market.</w:t>
      </w:r>
    </w:p>
    <w:p>
      <w:pPr>
        <w:pStyle w:val="BodyText"/>
      </w:pPr>
      <w:r>
        <w:t xml:space="preserve">Our sales team must prioritize cultivating relationships with Houston-based venues, cultural institutions, and corporate clients to maintain leadership in the United States Houston music service industry. The data is clear: When strategically deployed, Musician services deliver measurable revenue growth while enriching Houston's vibrant cultural fabric. We project 32% annual growth in Musician service sales for United States Houston by Q1 2024, positioning us to capture an even larger share of this $187 million local music economy.</w:t>
      </w:r>
    </w:p>
    <w:p>
      <w:pPr>
        <w:pStyle w:val="BodyText"/>
      </w:pPr>
      <w:r>
        <w:rPr>
          <w:iCs/>
          <w:i/>
        </w:rPr>
        <w:t xml:space="preserve">Prepared by: National Sales Intelligence Division</w:t>
      </w:r>
      <w:r>
        <w:br/>
      </w:r>
      <w:r>
        <w:rPr>
          <w:iCs/>
          <w:i/>
        </w:rPr>
        <w:t xml:space="preserve">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United States Houston Market</dc:title>
  <dc:creator/>
  <dc:language>en</dc:language>
  <cp:keywords/>
  <dcterms:created xsi:type="dcterms:W3CDTF">2025-12-10T10:33:19Z</dcterms:created>
  <dcterms:modified xsi:type="dcterms:W3CDTF">2025-12-10T10:33:19Z</dcterms:modified>
</cp:coreProperties>
</file>

<file path=docProps/custom.xml><?xml version="1.0" encoding="utf-8"?>
<Properties xmlns="http://schemas.openxmlformats.org/officeDocument/2006/custom-properties" xmlns:vt="http://schemas.openxmlformats.org/officeDocument/2006/docPropsVTypes"/>
</file>