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30" w:name="X2fa9a3d97f8cd3d31ed786693b296b047644675"/>
    <w:p>
      <w:pPr>
        <w:pStyle w:val="Heading1"/>
      </w:pPr>
      <w:r>
        <w:t xml:space="preserve">Comprehensive Sales Report: Musician Performance in United States Miami Market</w:t>
      </w:r>
    </w:p>
    <w:bookmarkStart w:id="20" w:name="executive-summary"/>
    <w:p>
      <w:pPr>
        <w:pStyle w:val="Heading2"/>
      </w:pPr>
      <w:r>
        <w:t xml:space="preserve">Executive Summary</w:t>
      </w:r>
    </w:p>
    <w:p>
      <w:pPr>
        <w:pStyle w:val="FirstParagraph"/>
      </w:pPr>
      <w:r>
        <w:t xml:space="preserve">This Sales Report presents a detailed analysis of the performance metrics for our featured musician across the dynamic United States Miami market. Spanning the period from January 2023 to June 2024, this document quantifies sales growth, audience engagement patterns, and strategic opportunities specific to Miami's unique cultural ecosystem. As a premier Musician in the Latin-infused American music landscape, our artist has achieved remarkable milestones within this critical U.S. market segment. The data reveals a 187% year-over-year increase in total revenue streams directly attributable to Miami's evolving musical consumption patterns, confirming its status as an essential growth engine for national expansion.</w:t>
      </w:r>
    </w:p>
    <w:bookmarkEnd w:id="20"/>
    <w:bookmarkStart w:id="21" w:name="X43e86390299ffe5d0e1a5f75b715e09317ff0ee"/>
    <w:p>
      <w:pPr>
        <w:pStyle w:val="Heading2"/>
      </w:pPr>
      <w:r>
        <w:t xml:space="preserve">Market Context: Why United States Miami Matters for Musician Brands</w:t>
      </w:r>
    </w:p>
    <w:p>
      <w:pPr>
        <w:pStyle w:val="FirstParagraph"/>
      </w:pPr>
      <w:r>
        <w:t xml:space="preserve">Miami represents a pivotal convergence point where international music trends meet American commercial viability. As the cultural capital of Latin America's U.S. diaspora, the city generates $3.4 billion annually in live music revenue (Miami Music &amp; Entertainment Council, 2023). For any Musician seeking national relevance, Miami isn't just a market—it's a launchpad for continental influence. Our Sales Report confirms that 68% of the artist's national streaming growth originated from Miami-based listeners during Q4 2023, proving its disproportionate impact on broader U.S. audience acquisition.</w:t>
      </w:r>
    </w:p>
    <w:p>
      <w:pPr>
        <w:pStyle w:val="BodyText"/>
      </w:pPr>
      <w:r>
        <w:t xml:space="preserve">The city's unique fusion of Caribbean rhythms, urban pop sensibilities, and international touring circuits creates a sales multiplier effect rarely seen elsewhere. This Sales Report demonstrates how Miami acts as both the cultural amplifier and economic catalyst for Musician-driven revenue streams across the entire United States market.</w:t>
      </w:r>
    </w:p>
    <w:bookmarkEnd w:id="21"/>
    <w:bookmarkStart w:id="22" w:name="X304aa11ec6277c97ac2fabeb5eaf7ba81ed3b95"/>
    <w:p>
      <w:pPr>
        <w:pStyle w:val="Heading2"/>
      </w:pPr>
      <w:r>
        <w:t xml:space="preserve">Performance Metrics: Quantitative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Q1 2023</w:t>
            </w:r>
          </w:p>
        </w:tc>
        <w:tc>
          <w:tcPr/>
          <w:p>
            <w:pPr>
              <w:pStyle w:val="Compact"/>
              <w:jc w:val="left"/>
            </w:pPr>
            <w:r>
              <w:t xml:space="preserve">Q1 2024</w:t>
            </w:r>
          </w:p>
        </w:tc>
        <w:tc>
          <w:tcPr/>
          <w:p>
            <w:pPr>
              <w:pStyle w:val="Compact"/>
              <w:jc w:val="left"/>
            </w:pPr>
            <w:r>
              <w:t xml:space="preserve">YoY Change</w:t>
            </w:r>
          </w:p>
        </w:tc>
        <w:tc>
          <w:tcPr/>
          <w:p>
            <w:pPr>
              <w:pStyle w:val="Compact"/>
            </w:pPr>
          </w:p>
        </w:tc>
      </w:tr>
      <w:tr>
        <w:tc>
          <w:tcPr/>
          <w:p>
            <w:pPr>
              <w:pStyle w:val="Compact"/>
              <w:jc w:val="left"/>
            </w:pPr>
            <w:r>
              <w:t xml:space="preserve">Digital Downloads (Spotify/Apple)</w:t>
            </w:r>
          </w:p>
        </w:tc>
        <w:tc>
          <w:tcPr/>
          <w:p>
            <w:pPr>
              <w:pStyle w:val="Compact"/>
              <w:jc w:val="left"/>
            </w:pPr>
            <w:r>
              <w:t xml:space="preserve">$18,450</w:t>
            </w:r>
          </w:p>
        </w:tc>
        <w:tc>
          <w:tcPr/>
          <w:p>
            <w:pPr>
              <w:pStyle w:val="Compact"/>
              <w:jc w:val="left"/>
            </w:pPr>
            <w:r>
              <w:t xml:space="preserve">$57,310</w:t>
            </w:r>
          </w:p>
        </w:tc>
        <w:tc>
          <w:tcPr/>
          <w:p>
            <w:pPr>
              <w:pStyle w:val="Compact"/>
              <w:jc w:val="left"/>
            </w:pPr>
            <w:r>
              <w:t xml:space="preserve">+210%</w:t>
            </w:r>
          </w:p>
        </w:tc>
        <w:tc>
          <w:tcPr/>
          <w:p>
            <w:pPr>
              <w:pStyle w:val="Compact"/>
            </w:pPr>
          </w:p>
        </w:tc>
      </w:tr>
      <w:tr>
        <w:tc>
          <w:tcPr/>
          <w:p>
            <w:pPr>
              <w:pStyle w:val="Compact"/>
              <w:jc w:val="left"/>
            </w:pPr>
            <w:r>
              <w:t xml:space="preserve">Physical Merchandise (Tour)</w:t>
            </w:r>
          </w:p>
        </w:tc>
        <w:tc>
          <w:tcPr/>
          <w:p>
            <w:pPr>
              <w:pStyle w:val="Compact"/>
              <w:jc w:val="left"/>
            </w:pPr>
            <w:r>
              <w:t xml:space="preserve">$7,220</w:t>
            </w:r>
          </w:p>
        </w:tc>
        <w:tc>
          <w:tcPr>
            <w:gridSpan w:val="3"/>
          </w:tcPr>
          <w:p>
            <w:pPr>
              <w:pStyle w:val="Compact"/>
              <w:jc w:val="left"/>
            </w:pPr>
            <w:r>
              <w:t xml:space="preserve">Total Miami Revenue: $984,500</w:t>
            </w:r>
          </w:p>
        </w:tc>
      </w:tr>
    </w:tbl>
    <w:p>
      <w:pPr>
        <w:pStyle w:val="BodyText"/>
      </w:pPr>
      <w:r>
        <w:t xml:space="preserve">The dramatic growth in digital consumption is particularly significant. Our Musician's streams in Miami surged 289% year-over-year, fueled by strategic placements in local radio (WPOW 105.9 FM) and targeted Instagram campaigns during Miami Music Week. Notably, the Sales Report identifies a direct correlation between festival appearances (Ultra Music Festival, Calle Ocho) and 37% of all merchandise purchases—proving live events remain the most potent sales driver in this market.</w:t>
      </w:r>
    </w:p>
    <w:bookmarkEnd w:id="22"/>
    <w:bookmarkStart w:id="23" w:name="X4ce3de7591f3caa0b944e679902ec300200a3df"/>
    <w:p>
      <w:pPr>
        <w:pStyle w:val="Heading2"/>
      </w:pPr>
      <w:r>
        <w:t xml:space="preserve">Regional Sales Drivers: Miami-Specific Insights</w:t>
      </w:r>
    </w:p>
    <w:p>
      <w:pPr>
        <w:pStyle w:val="FirstParagraph"/>
      </w:pPr>
      <w:r>
        <w:t xml:space="preserve">This Sales Report highlights three distinctive Miami-driven revenue engines absent in other U.S. markets:</w:t>
      </w:r>
    </w:p>
    <w:p>
      <w:pPr>
        <w:numPr>
          <w:ilvl w:val="0"/>
          <w:numId w:val="1001"/>
        </w:numPr>
        <w:pStyle w:val="Compact"/>
      </w:pPr>
      <w:r>
        <w:rPr>
          <w:bCs/>
          <w:b/>
        </w:rPr>
        <w:t xml:space="preserve">Cultural Resonance:</w:t>
      </w:r>
      <w:r>
        <w:t xml:space="preserve"> </w:t>
      </w:r>
      <w:r>
        <w:t xml:space="preserve">76% of Miami digital sales originate from listeners aged 18-34 with strong Cuban or Puerto Rican heritage—directly aligning with the Musician's bilingual discography. Our artist's collaboration with local reggaeton stars (Daddy Yankee, J Balvin) generated $215,000 in cross-promotional revenue during the 2023 season.</w:t>
      </w:r>
    </w:p>
    <w:p>
      <w:pPr>
        <w:numPr>
          <w:ilvl w:val="0"/>
          <w:numId w:val="1001"/>
        </w:numPr>
        <w:pStyle w:val="Compact"/>
      </w:pPr>
      <w:r>
        <w:rPr>
          <w:bCs/>
          <w:b/>
        </w:rPr>
        <w:t xml:space="preserve">Seasonal Surge:</w:t>
      </w:r>
      <w:r>
        <w:t xml:space="preserve"> </w:t>
      </w:r>
      <w:r>
        <w:t xml:space="preserve">Miami exhibits a 43% Q4 sales spike due to winter tourism and holiday events. The Sales Report shows that December's "Miami Heat" tour package drove $187,000 in ticket revenue—62% higher than national averages.</w:t>
      </w:r>
    </w:p>
    <w:p>
      <w:pPr>
        <w:numPr>
          <w:ilvl w:val="0"/>
          <w:numId w:val="1001"/>
        </w:numPr>
        <w:pStyle w:val="Compact"/>
      </w:pPr>
      <w:r>
        <w:rPr>
          <w:bCs/>
          <w:b/>
        </w:rPr>
        <w:t xml:space="preserve">Geo-Targeted Commerce:</w:t>
      </w:r>
      <w:r>
        <w:t xml:space="preserve"> </w:t>
      </w:r>
      <w:r>
        <w:t xml:space="preserve">Partnering with Miami-based retailers (e.g., Bodega 13, La Mar Restaurant) for exclusive vinyl releases increased physical sales by 215% versus standard distribution channels. This localized strategy generated $64,200 in Q3 2023 alone.</w:t>
      </w:r>
    </w:p>
    <w:bookmarkEnd w:id="23"/>
    <w:bookmarkStart w:id="25" w:name="competitive-landscape-analysis"/>
    <w:p>
      <w:pPr>
        <w:pStyle w:val="Heading2"/>
      </w:pPr>
      <w:r>
        <w:t xml:space="preserve">Competitive Landscape Analysis</w:t>
      </w:r>
    </w:p>
    <w:p>
      <w:pPr>
        <w:pStyle w:val="FirstParagraph"/>
      </w:pPr>
      <w:r>
        <w:t xml:space="preserve">Miami's competitive music landscape requires nuanced strategies that this Sales Report quantifies:</w:t>
      </w:r>
    </w:p>
    <w:bookmarkStart w:id="24" w:name="competitor-gap-assessment"/>
    <w:p>
      <w:pPr>
        <w:pStyle w:val="Heading3"/>
      </w:pPr>
      <w:r>
        <w:t xml:space="preserve">Competitor Gap Assessment</w:t>
      </w:r>
    </w:p>
    <w:p>
      <w:pPr>
        <w:pStyle w:val="FirstParagraph"/>
      </w:pPr>
      <w:r>
        <w:rPr>
          <w:bCs/>
          <w:b/>
        </w:rPr>
        <w:t xml:space="preserve">Local Artists (e.g., Gloria Estefan, Pitbull):</w:t>
      </w:r>
      <w:r>
        <w:t xml:space="preserve"> </w:t>
      </w:r>
      <w:r>
        <w:t xml:space="preserve">Dominant in live events but lagging in digital monetization—our Musician outperforms them 2.1x in streaming revenue per capita.</w:t>
      </w:r>
    </w:p>
    <w:p>
      <w:pPr>
        <w:pStyle w:val="BodyText"/>
      </w:pPr>
      <w:r>
        <w:rPr>
          <w:bCs/>
          <w:b/>
        </w:rPr>
        <w:t xml:space="preserve">National Touring Acts:</w:t>
      </w:r>
      <w:r>
        <w:t xml:space="preserve"> </w:t>
      </w:r>
      <w:r>
        <w:t xml:space="preserve">Typically treat Miami as a "stopover" market. Our Sales Report confirms that this Musician achieved 38% higher average ticket prices than touring competitors due to genuine local engagement.</w:t>
      </w:r>
    </w:p>
    <w:p>
      <w:pPr>
        <w:pStyle w:val="BodyText"/>
      </w:pPr>
      <w:r>
        <w:rPr>
          <w:bCs/>
          <w:b/>
        </w:rPr>
        <w:t xml:space="preserve">Streaming Algorithms:</w:t>
      </w:r>
      <w:r>
        <w:t xml:space="preserve"> </w:t>
      </w:r>
      <w:r>
        <w:t xml:space="preserve">Miami's Spotify algorithm favors Latin-pop content by 47% over national averages. This native advantage has propelled our artist into "Top 50 in Miami" weekly playlists for 16 consecutive months.</w:t>
      </w:r>
    </w:p>
    <w:bookmarkEnd w:id="24"/>
    <w:bookmarkEnd w:id="25"/>
    <w:bookmarkStart w:id="26" w:name="strategic-opportunities-identified"/>
    <w:p>
      <w:pPr>
        <w:pStyle w:val="Heading2"/>
      </w:pPr>
      <w:r>
        <w:t xml:space="preserve">Strategic Opportunities Identified</w:t>
      </w:r>
    </w:p>
    <w:p>
      <w:pPr>
        <w:pStyle w:val="FirstParagraph"/>
      </w:pPr>
      <w:r>
        <w:t xml:space="preserve">Based on the Sales Report data, three high-impact opportunities require immediate investment:</w:t>
      </w:r>
    </w:p>
    <w:p>
      <w:pPr>
        <w:numPr>
          <w:ilvl w:val="0"/>
          <w:numId w:val="1002"/>
        </w:numPr>
        <w:pStyle w:val="Compact"/>
      </w:pPr>
      <w:r>
        <w:rPr>
          <w:bCs/>
          <w:b/>
        </w:rPr>
        <w:t xml:space="preserve">Miami Music Fest Expansion:</w:t>
      </w:r>
      <w:r>
        <w:t xml:space="preserve"> </w:t>
      </w:r>
      <w:r>
        <w:t xml:space="preserve">Leverage our proven festival success to create a dedicated "Artist Experience Pavilion" at Ultra 2024. Projected revenue: $315,000 (based on 2023 precedent).</w:t>
      </w:r>
    </w:p>
    <w:p>
      <w:pPr>
        <w:numPr>
          <w:ilvl w:val="0"/>
          <w:numId w:val="1002"/>
        </w:numPr>
        <w:pStyle w:val="Compact"/>
      </w:pPr>
      <w:r>
        <w:rPr>
          <w:bCs/>
          <w:b/>
        </w:rPr>
        <w:t xml:space="preserve">Local Content Partnerships:</w:t>
      </w:r>
      <w:r>
        <w:t xml:space="preserve"> </w:t>
      </w:r>
      <w:r>
        <w:t xml:space="preserve">Co-create exclusive Miami-themed content with influencers like @MiamiVibes for TikTok/Instagram—projected to drive 24% more digital sales based on Q1 2024 test campaigns.</w:t>
      </w:r>
    </w:p>
    <w:p>
      <w:pPr>
        <w:numPr>
          <w:ilvl w:val="0"/>
          <w:numId w:val="1002"/>
        </w:numPr>
        <w:pStyle w:val="Compact"/>
      </w:pPr>
      <w:r>
        <w:rPr>
          <w:bCs/>
          <w:b/>
        </w:rPr>
        <w:t xml:space="preserve">Downtown Miami Retail Presence:</w:t>
      </w:r>
      <w:r>
        <w:t xml:space="preserve"> </w:t>
      </w:r>
      <w:r>
        <w:t xml:space="preserve">Establish a permanent pop-up shop in the Wynwood Arts District targeting tourists. Sales Report projections indicate $85,000+ monthly revenue from tourist traffic alone.</w:t>
      </w:r>
    </w:p>
    <w:bookmarkEnd w:id="26"/>
    <w:bookmarkStart w:id="27" w:name="challenges-and-mitigation-strategies"/>
    <w:p>
      <w:pPr>
        <w:pStyle w:val="Heading2"/>
      </w:pPr>
      <w:r>
        <w:t xml:space="preserve">Challenges and Mitigation Strategies</w:t>
      </w:r>
    </w:p>
    <w:p>
      <w:pPr>
        <w:pStyle w:val="FirstParagraph"/>
      </w:pPr>
      <w:r>
        <w:t xml:space="preserve">The Sales Report identifies two key Miami-specific challenges requiring action:</w:t>
      </w:r>
    </w:p>
    <w:p>
      <w:pPr>
        <w:numPr>
          <w:ilvl w:val="0"/>
          <w:numId w:val="1003"/>
        </w:numPr>
        <w:pStyle w:val="Compact"/>
      </w:pPr>
      <w:r>
        <w:rPr>
          <w:bCs/>
          <w:b/>
        </w:rPr>
        <w:t xml:space="preserve">Seasonality Volatility:</w:t>
      </w:r>
      <w:r>
        <w:t xml:space="preserve"> </w:t>
      </w:r>
      <w:r>
        <w:t xml:space="preserve">58% of sales occur during December-March. Mitigation: Develop "Miami Year-Round" digital content bundles to maintain engagement through summer lulls (testing shows 29% conversion lift).</w:t>
      </w:r>
    </w:p>
    <w:p>
      <w:pPr>
        <w:numPr>
          <w:ilvl w:val="0"/>
          <w:numId w:val="1003"/>
        </w:numPr>
        <w:pStyle w:val="Compact"/>
      </w:pPr>
      <w:r>
        <w:rPr>
          <w:bCs/>
          <w:b/>
        </w:rPr>
        <w:t xml:space="preserve">Tourist-Driven Competition:</w:t>
      </w:r>
      <w:r>
        <w:t xml:space="preserve"> </w:t>
      </w:r>
      <w:r>
        <w:t xml:space="preserve">Local venues compete for transient visitors. Mitigation: Secure exclusive pre-sale access for Miami residents via the artist's app—this strategy increased local sales by 33% in Q2 2024.</w:t>
      </w:r>
    </w:p>
    <w:bookmarkEnd w:id="27"/>
    <w:bookmarkStart w:id="29" w:name="conclusion-the-miami-advantage"/>
    <w:p>
      <w:pPr>
        <w:pStyle w:val="Heading2"/>
      </w:pPr>
      <w:r>
        <w:t xml:space="preserve">Conclusion: The Miami Advantage</w:t>
      </w:r>
    </w:p>
    <w:p>
      <w:pPr>
        <w:pStyle w:val="FirstParagraph"/>
      </w:pPr>
      <w:r>
        <w:t xml:space="preserve">This Sales Report unequivocally demonstrates that United States Miami is not merely a regional market for our Musician—it's the strategic nerve center for national growth. The 187% revenue increase validates our hyper-localized approach as the most effective model in the American music industry. Crucially, Miami's unique fusion of cultural authenticity and commercial scale creates a sustainable sales engine unmatched elsewhere in the United States.</w:t>
      </w:r>
    </w:p>
    <w:p>
      <w:pPr>
        <w:pStyle w:val="BodyText"/>
      </w:pPr>
      <w:r>
        <w:t xml:space="preserve">As we conclude this Sales Report, we emphasize that continued investment in Miami isn't an operational expense—it's a revenue multiplier. Our Musician's success here directly fuels national market penetration, with every Miami dollar generating $3.87 in additional cross-country sales (per our attribution model). The data is clear: To dominate the United States music landscape, you must first master Miami.</w:t>
      </w:r>
    </w:p>
    <w:p>
      <w:pPr>
        <w:pStyle w:val="BodyText"/>
      </w:pPr>
      <w:r>
        <w:rPr>
          <w:bCs/>
          <w:b/>
        </w:rPr>
        <w:t xml:space="preserve">Recommendation:</w:t>
      </w:r>
      <w:r>
        <w:t xml:space="preserve"> </w:t>
      </w:r>
      <w:r>
        <w:t xml:space="preserve">Allocate 35% of 2024 U.S. marketing budget to Miami-specific initiatives based on these Sales Report findings. This strategic reallocation will accelerate national market share by an estimated 28% within the next fiscal year.</w:t>
      </w:r>
    </w:p>
    <w:bookmarkStart w:id="28" w:name="appendix-key-performance-indicators-kpis"/>
    <w:p>
      <w:pPr>
        <w:pStyle w:val="Heading3"/>
      </w:pPr>
      <w:r>
        <w:t xml:space="preserve">Appendix: Key Performance Indicators (KPIs)</w:t>
      </w:r>
    </w:p>
    <w:p>
      <w:pPr>
        <w:numPr>
          <w:ilvl w:val="0"/>
          <w:numId w:val="1004"/>
        </w:numPr>
        <w:pStyle w:val="Compact"/>
      </w:pPr>
      <w:r>
        <w:t xml:space="preserve">Artist Retention Rate in Miami: 91% (vs. 72% national average)</w:t>
      </w:r>
    </w:p>
    <w:p>
      <w:pPr>
        <w:numPr>
          <w:ilvl w:val="0"/>
          <w:numId w:val="1004"/>
        </w:numPr>
        <w:pStyle w:val="Compact"/>
      </w:pPr>
      <w:r>
        <w:t xml:space="preserve">Average Ticket Price vs. National Touring Artists: +$28.50</w:t>
      </w:r>
    </w:p>
    <w:p>
      <w:pPr>
        <w:numPr>
          <w:ilvl w:val="0"/>
          <w:numId w:val="1004"/>
        </w:numPr>
        <w:pStyle w:val="Compact"/>
      </w:pPr>
      <w:r>
        <w:t xml:space="preserve">Miami Social Media Engagement Rate: 4.7% (Industry Benchmark: 1.9%)</w:t>
      </w:r>
    </w:p>
    <w:p>
      <w:pPr>
        <w:pStyle w:val="FirstParagraph"/>
      </w:pPr>
      <w:r>
        <w:rPr>
          <w:iCs/>
          <w:i/>
        </w:rPr>
        <w:t xml:space="preserve">Sales Report Prepared By: Miami Music Analytics Division | Date: July 15, 2024 | Confidential for Internal Use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Miami Market Analysis</dc:title>
  <dc:creator/>
  <dc:language>en</dc:language>
  <cp:keywords/>
  <dcterms:created xsi:type="dcterms:W3CDTF">2026-06-04T04:09:17Z</dcterms:created>
  <dcterms:modified xsi:type="dcterms:W3CDTF">2026-06-04T04:09:17Z</dcterms:modified>
</cp:coreProperties>
</file>

<file path=docProps/custom.xml><?xml version="1.0" encoding="utf-8"?>
<Properties xmlns="http://schemas.openxmlformats.org/officeDocument/2006/custom-properties" xmlns:vt="http://schemas.openxmlformats.org/officeDocument/2006/docPropsVTypes"/>
</file>