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8" w:name="X3caed37b9f5cff55e42e3a797af3be127549a8c"/>
    <w:p>
      <w:pPr>
        <w:pStyle w:val="Heading1"/>
      </w:pPr>
      <w:r>
        <w:t xml:space="preserve">Comprehensive Sales Report for [Artist Name]: Musician Performance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Division</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of our featured Musician across the Caracas market in Venezuela. Despite ongoing economic challenges in Venezuela Caracas, this Musician has demonstrated remarkable resilience and growth through innovative sales strategies. The report confirms a 37% year-over-year increase in revenue streams directly attributable to localized engagement tactics within Caracas' vibrant music ecosystem. This Sales Report underscores how strategic adaptation to Venezuela's unique market conditions can yield significant commercial success for international musicians.</w:t>
      </w:r>
    </w:p>
    <w:bookmarkEnd w:id="20"/>
    <w:bookmarkStart w:id="21" w:name="Xa3e7147f09948e9b511c722f55c9f64a00709c8"/>
    <w:p>
      <w:pPr>
        <w:pStyle w:val="Heading2"/>
      </w:pPr>
      <w:r>
        <w:t xml:space="preserve">Market Context: Venezuela Caracas Music Landscape</w:t>
      </w:r>
    </w:p>
    <w:p>
      <w:pPr>
        <w:pStyle w:val="FirstParagraph"/>
      </w:pPr>
      <w:r>
        <w:t xml:space="preserve">Caracas, as the cultural capital of Venezuela, presents both challenges and opportunities for any Musician operating in this region. The 2023 economic environment in Venezuela has driven increased demand for affordable entertainment options, with live music becoming a critical emotional anchor for Caracas residents. Our Musician recognized this need early by prioritizing accessible pricing models and community partnerships within Venezuela Caracas neighborhoods. The Sales Report reveals that 68% of our total revenue in the region came from direct sales to local audiences rather than international distribution channels – a testament to the Musician's deep integration into Caracas' cultural fabric.</w:t>
      </w:r>
    </w:p>
    <w:bookmarkEnd w:id="21"/>
    <w:bookmarkStart w:id="22" w:name="quarterly-sales-performance-breakdown"/>
    <w:p>
      <w:pPr>
        <w:pStyle w:val="Heading2"/>
      </w:pPr>
      <w:r>
        <w:t xml:space="preserve">Quarterly Sales Performance Breakdown</w:t>
      </w:r>
    </w:p>
    <w:p>
      <w:pPr>
        <w:pStyle w:val="FirstParagraph"/>
      </w:pPr>
      <w:r>
        <w:t xml:space="preserve">Period</w:t>
      </w:r>
    </w:p>
    <w:p>
      <w:pPr>
        <w:pStyle w:val="BodyText"/>
      </w:pPr>
      <w:r>
        <w:t xml:space="preserve">Physical Album Sales (Venezuela)</w:t>
      </w:r>
    </w:p>
    <w:p>
      <w:pPr>
        <w:pStyle w:val="BodyText"/>
      </w:pPr>
      <w:r>
        <w:t xml:space="preserve">Digital Downloads (Caracas)</w:t>
      </w:r>
    </w:p>
    <w:p>
      <w:pPr>
        <w:pStyle w:val="BodyText"/>
      </w:pPr>
      <w:r>
        <w:t xml:space="preserve">Merchandise Revenue</w:t>
      </w:r>
    </w:p>
    <w:p>
      <w:pPr>
        <w:pStyle w:val="BodyText"/>
      </w:pPr>
      <w:r>
        <w:t xml:space="preserve">Ticketed Events (Caracas)</w:t>
      </w:r>
    </w:p>
    <w:p>
      <w:pPr>
        <w:pStyle w:val="BodyText"/>
      </w:pPr>
      <w:r>
        <w:rPr>
          <w:bCs/>
          <w:b/>
        </w:rPr>
        <w:t xml:space="preserve">Total Revenue</w:t>
      </w:r>
    </w:p>
    <w:p>
      <w:pPr>
        <w:pStyle w:val="BodyText"/>
      </w:pPr>
      <w:r>
        <w:t xml:space="preserve">Q1 2023</w:t>
      </w:r>
    </w:p>
    <w:p>
      <w:pPr>
        <w:pStyle w:val="BodyText"/>
      </w:pPr>
      <w:r>
        <w:t xml:space="preserve">$8,450</w:t>
      </w:r>
    </w:p>
    <w:p>
      <w:pPr>
        <w:pStyle w:val="BodyText"/>
      </w:pPr>
      <w:r>
        <w:t xml:space="preserve">$6,200</w:t>
      </w:r>
    </w:p>
    <w:p>
      <w:pPr>
        <w:pStyle w:val="BodyText"/>
      </w:pPr>
      <w:r>
        <w:t xml:space="preserve">$4,350</w:t>
      </w:r>
    </w:p>
    <w:p>
      <w:pPr>
        <w:pStyle w:val="BodyText"/>
      </w:pPr>
      <w:r>
        <w:t xml:space="preserve">$12,750</w:t>
      </w:r>
    </w:p>
    <w:p>
      <w:pPr>
        <w:pStyle w:val="BodyText"/>
      </w:pPr>
      <w:r>
        <w:rPr>
          <w:bCs/>
          <w:b/>
        </w:rPr>
        <w:t xml:space="preserve">$31,750</w:t>
      </w:r>
    </w:p>
    <w:p>
      <w:pPr>
        <w:pStyle w:val="BodyText"/>
      </w:pPr>
      <w:r>
        <w:t xml:space="preserve">Q2 2023</w:t>
      </w:r>
    </w:p>
    <w:p>
      <w:pPr>
        <w:pStyle w:val="BodyText"/>
      </w:pPr>
      <w:r>
        <w:t xml:space="preserve">$14,890</w:t>
      </w:r>
    </w:p>
    <w:p>
      <w:pPr>
        <w:pStyle w:val="BodyText"/>
      </w:pPr>
      <w:r>
        <w:t xml:space="preserve">$9,560</w:t>
      </w:r>
    </w:p>
    <w:p>
      <w:pPr>
        <w:pStyle w:val="BodyText"/>
      </w:pPr>
      <w:r>
        <w:t xml:space="preserve">$7,180</w:t>
      </w:r>
    </w:p>
    <w:p>
      <w:pPr>
        <w:pStyle w:val="BodyText"/>
      </w:pPr>
      <w:r>
        <w:t xml:space="preserve">$19,450</w:t>
      </w:r>
    </w:p>
    <w:p>
      <w:pPr>
        <w:pStyle w:val="BodyText"/>
      </w:pPr>
      <w:r>
        <w:rPr>
          <w:bCs/>
          <w:b/>
        </w:rPr>
        <w:t xml:space="preserve">$51,080</w:t>
      </w:r>
    </w:p>
    <w:p>
      <w:pPr>
        <w:pStyle w:val="BodyText"/>
      </w:pPr>
      <w:r>
        <w:t xml:space="preserve">Q3 2023 (Projected)</w:t>
      </w:r>
    </w:p>
    <w:p>
      <w:pPr>
        <w:pStyle w:val="BodyText"/>
      </w:pPr>
      <w:r>
        <w:t xml:space="preserve">$21,640</w:t>
      </w:r>
    </w:p>
    <w:p>
      <w:pPr>
        <w:pStyle w:val="BodyText"/>
      </w:pPr>
      <w:r>
        <w:t xml:space="preserve">$14,975</w:t>
      </w:r>
    </w:p>
    <w:p>
      <w:pPr>
        <w:pStyle w:val="BodyText"/>
      </w:pPr>
      <w:r>
        <w:t xml:space="preserve">$12,485</w:t>
      </w:r>
    </w:p>
    <w:p>
      <w:pPr>
        <w:pStyle w:val="BodyText"/>
      </w:pPr>
      <w:r>
        <w:t xml:space="preserve">$35,870</w:t>
      </w:r>
    </w:p>
    <w:p>
      <w:pPr>
        <w:pStyle w:val="BodyText"/>
      </w:pPr>
      <w:r>
        <w:rPr>
          <w:bCs/>
          <w:b/>
        </w:rPr>
        <w:t xml:space="preserve">$85,000</w:t>
      </w:r>
    </w:p>
    <w:p>
      <w:pPr>
        <w:pStyle w:val="BodyText"/>
      </w:pPr>
      <w:r>
        <w:rPr>
          <w:iCs/>
          <w:i/>
        </w:rPr>
        <w:t xml:space="preserve">Year-to-Date Total</w:t>
      </w:r>
    </w:p>
    <w:p>
      <w:pPr>
        <w:pStyle w:val="BodyText"/>
      </w:pPr>
      <w:r>
        <w:rPr>
          <w:iCs/>
          <w:i/>
        </w:rPr>
        <w:t xml:space="preserve">$45,980 + $30,735 + $24,015 + $68,070</w:t>
      </w:r>
    </w:p>
    <w:p>
      <w:pPr>
        <w:pStyle w:val="BodyText"/>
      </w:pPr>
      <w:r>
        <w:rPr>
          <w:bCs/>
          <w:b/>
        </w:rPr>
        <w:t xml:space="preserve">$168,800</w:t>
      </w:r>
    </w:p>
    <w:bookmarkEnd w:id="22"/>
    <w:bookmarkStart w:id="23" w:name="key-sales-drivers-in-venezuela-caracas"/>
    <w:p>
      <w:pPr>
        <w:pStyle w:val="Heading2"/>
      </w:pPr>
      <w:r>
        <w:t xml:space="preserve">Key Sales Drivers in Venezuela Caracas</w:t>
      </w:r>
    </w:p>
    <w:p>
      <w:pPr>
        <w:pStyle w:val="FirstParagraph"/>
      </w:pPr>
      <w:r>
        <w:rPr>
          <w:bCs/>
          <w:b/>
        </w:rPr>
        <w:t xml:space="preserve">Localized Content Strategy:</w:t>
      </w:r>
      <w:r>
        <w:t xml:space="preserve"> </w:t>
      </w:r>
      <w:r>
        <w:t xml:space="preserve">The Musician's sales surge directly correlates with releasing region-specific content. In June 2023, the launch of the "Caracas Nights" EP – featuring collaborations with local Venezuelan artists – drove a 76% spike in digital downloads within Venezuela Caracas. This Sales Report confirms that culturally relevant releases generate 4x more engagement than generic international offerings.</w:t>
      </w:r>
    </w:p>
    <w:p>
      <w:pPr>
        <w:pStyle w:val="BodyText"/>
      </w:pPr>
      <w:r>
        <w:rPr>
          <w:bCs/>
          <w:b/>
        </w:rPr>
        <w:t xml:space="preserve">Community-Driven Distribution:</w:t>
      </w:r>
      <w:r>
        <w:t xml:space="preserve"> </w:t>
      </w:r>
      <w:r>
        <w:t xml:space="preserve">Partnering with Caracas-based collectives like "Cultura en la Calle" enabled the Musician to sell merchandise at community events, bypassing traditional retail barriers. This grassroots approach captured 32% of all physical sales in Venezuela Caracas during Q3, a metric our Sales Report identifies as industry-leading for foreign artists.</w:t>
      </w:r>
    </w:p>
    <w:p>
      <w:pPr>
        <w:pStyle w:val="BodyText"/>
      </w:pPr>
      <w:r>
        <w:rPr>
          <w:bCs/>
          <w:b/>
        </w:rPr>
        <w:t xml:space="preserve">Live Event Innovation:</w:t>
      </w:r>
      <w:r>
        <w:t xml:space="preserve"> </w:t>
      </w:r>
      <w:r>
        <w:t xml:space="preserve">The Musician's "Free Sunday Sessions" at Parque Los Caobos (Caracas) attracted 12,000+ attendees across 9 months. By charging only voluntary donations (with QR code payment systems), the Sales Report shows these events generated $28,650 in direct revenue while building a loyal fanbase that converted to paid merchandise sales at a 43% rate.</w:t>
      </w:r>
    </w:p>
    <w:bookmarkEnd w:id="23"/>
    <w:bookmarkStart w:id="24" w:name="challenges-and-adaptive-solutions"/>
    <w:p>
      <w:pPr>
        <w:pStyle w:val="Heading2"/>
      </w:pPr>
      <w:r>
        <w:t xml:space="preserve">Challenges and Adaptive Solutions</w:t>
      </w:r>
    </w:p>
    <w:p>
      <w:pPr>
        <w:pStyle w:val="FirstParagraph"/>
      </w:pPr>
      <w:r>
        <w:t xml:space="preserve">Venezuela Caracas' economic volatility required constant adaptation. The Sales Report documents how the Musician overcame currency instability by:</w:t>
      </w:r>
    </w:p>
    <w:p>
      <w:pPr>
        <w:numPr>
          <w:ilvl w:val="0"/>
          <w:numId w:val="1001"/>
        </w:numPr>
        <w:pStyle w:val="Compact"/>
      </w:pPr>
      <w:r>
        <w:t xml:space="preserve">Implementing "Venezuela-Only" pricing in Bolivares at 30% below international rates (boosting sales volume by 210%)</w:t>
      </w:r>
    </w:p>
    <w:p>
      <w:pPr>
        <w:numPr>
          <w:ilvl w:val="0"/>
          <w:numId w:val="1001"/>
        </w:numPr>
        <w:pStyle w:val="Compact"/>
      </w:pPr>
      <w:r>
        <w:t xml:space="preserve">Partnering with local telecom companies for mobile-based music access (reaching 45,000 Caracas users via MoviStar)</w:t>
      </w:r>
    </w:p>
    <w:p>
      <w:pPr>
        <w:numPr>
          <w:ilvl w:val="0"/>
          <w:numId w:val="1001"/>
        </w:numPr>
        <w:pStyle w:val="Compact"/>
      </w:pPr>
      <w:r>
        <w:t xml:space="preserve">Creating low-cost vinyl bundles featuring Venezuelan artwork to appeal to collectors amid economic scarcity</w:t>
      </w:r>
    </w:p>
    <w:bookmarkEnd w:id="24"/>
    <w:bookmarkStart w:id="25" w:name="Xb170529c4c95f8e4b2024783ad413a4de0c3be8"/>
    <w:p>
      <w:pPr>
        <w:pStyle w:val="Heading2"/>
      </w:pPr>
      <w:r>
        <w:t xml:space="preserve">Market Analysis: Why This Musician Succeeded in Venezuela Caracas</w:t>
      </w:r>
    </w:p>
    <w:p>
      <w:pPr>
        <w:pStyle w:val="FirstParagraph"/>
      </w:pPr>
      <w:r>
        <w:t xml:space="preserve">This Sales Report reveals critical insights about Venezuela Caracas' music market:</w:t>
      </w:r>
    </w:p>
    <w:p>
      <w:pPr>
        <w:numPr>
          <w:ilvl w:val="0"/>
          <w:numId w:val="1002"/>
        </w:numPr>
        <w:pStyle w:val="Compact"/>
      </w:pPr>
      <w:r>
        <w:rPr>
          <w:iCs/>
          <w:i/>
        </w:rPr>
        <w:t xml:space="preserve">Cultural Authenticity is Non-Negotiable:</w:t>
      </w:r>
      <w:r>
        <w:t xml:space="preserve"> </w:t>
      </w:r>
      <w:r>
        <w:t xml:space="preserve">The Musician's investment in learning Spanish lyrics and incorporating Venezuelan musical elements (like joropo rhythms) drove 89% of new fan acquisitions.</w:t>
      </w:r>
    </w:p>
    <w:p>
      <w:pPr>
        <w:numPr>
          <w:ilvl w:val="0"/>
          <w:numId w:val="1002"/>
        </w:numPr>
        <w:pStyle w:val="Compact"/>
      </w:pPr>
      <w:r>
        <w:rPr>
          <w:iCs/>
          <w:i/>
        </w:rPr>
        <w:t xml:space="preserve">Community Trust Trumps Branding:</w:t>
      </w:r>
      <w:r>
        <w:t xml:space="preserve"> </w:t>
      </w:r>
      <w:r>
        <w:t xml:space="preserve">Local partnerships (e.g., with Caracas music schools) generated 63% of earned media coverage – crucial in a market saturated with international content.</w:t>
      </w:r>
    </w:p>
    <w:p>
      <w:pPr>
        <w:numPr>
          <w:ilvl w:val="0"/>
          <w:numId w:val="1002"/>
        </w:numPr>
        <w:pStyle w:val="Compact"/>
      </w:pPr>
      <w:r>
        <w:rPr>
          <w:iCs/>
          <w:i/>
        </w:rPr>
        <w:t xml:space="preserve">Digital Accessibility Wins:</w:t>
      </w:r>
      <w:r>
        <w:t xml:space="preserve"> </w:t>
      </w:r>
      <w:r>
        <w:t xml:space="preserve">78% of Venezuela Caracas consumers access music via low-bandwidth platforms; the Musician optimized files for mobile streaming, increasing engagement by 200%.</w:t>
      </w:r>
    </w:p>
    <w:bookmarkEnd w:id="25"/>
    <w:bookmarkStart w:id="26" w:name="Xdc7e3c052f23cb3aea6ae30db70990bfd3211fb"/>
    <w:p>
      <w:pPr>
        <w:pStyle w:val="Heading2"/>
      </w:pPr>
      <w:r>
        <w:t xml:space="preserve">Future Sales Strategy: Scaling the Venezuela Caracas Model</w:t>
      </w:r>
    </w:p>
    <w:p>
      <w:pPr>
        <w:pStyle w:val="FirstParagraph"/>
      </w:pPr>
      <w:r>
        <w:t xml:space="preserve">This Sales Report provides clear direction for expanding our Musician's success across Venezuela Caracas:</w:t>
      </w:r>
    </w:p>
    <w:p>
      <w:pPr>
        <w:numPr>
          <w:ilvl w:val="0"/>
          <w:numId w:val="1003"/>
        </w:numPr>
        <w:pStyle w:val="Compact"/>
      </w:pPr>
      <w:r>
        <w:rPr>
          <w:bCs/>
          <w:b/>
        </w:rPr>
        <w:t xml:space="preserve">Caracas-Specific Content Hub:</w:t>
      </w:r>
      <w:r>
        <w:t xml:space="preserve"> </w:t>
      </w:r>
      <w:r>
        <w:t xml:space="preserve">Launching a dedicated platform for Venezuela-exclusive content (e.g., "Caracas Remixes") to increase digital sales by 50% in 2024</w:t>
      </w:r>
    </w:p>
    <w:p>
      <w:pPr>
        <w:numPr>
          <w:ilvl w:val="0"/>
          <w:numId w:val="1003"/>
        </w:numPr>
        <w:pStyle w:val="Compact"/>
      </w:pPr>
      <w:r>
        <w:rPr>
          <w:bCs/>
          <w:b/>
        </w:rPr>
        <w:t xml:space="preserve">Venezuelan Artist Collaborations:</w:t>
      </w:r>
      <w:r>
        <w:t xml:space="preserve"> </w:t>
      </w:r>
      <w:r>
        <w:t xml:space="preserve">Co-producing 3 new tracks with Caracas-based musicians to leverage cross-promotion, expected to boost album sales by 35%</w:t>
      </w:r>
    </w:p>
    <w:p>
      <w:pPr>
        <w:numPr>
          <w:ilvl w:val="0"/>
          <w:numId w:val="1003"/>
        </w:numPr>
        <w:pStyle w:val="Compact"/>
      </w:pPr>
      <w:r>
        <w:rPr>
          <w:bCs/>
          <w:b/>
        </w:rPr>
        <w:t xml:space="preserve">Community Investment Fund:</w:t>
      </w:r>
      <w:r>
        <w:t xml:space="preserve"> </w:t>
      </w:r>
      <w:r>
        <w:t xml:space="preserve">Allocating 10% of Venezuela Caracas revenue toward local music scholarships – creating organic promotional opportunities</w:t>
      </w:r>
    </w:p>
    <w:bookmarkEnd w:id="26"/>
    <w:bookmarkStart w:id="27" w:name="Xc7799050b3c371e992b5850847ea5f967a5bccd"/>
    <w:p>
      <w:pPr>
        <w:pStyle w:val="Heading2"/>
      </w:pPr>
      <w:r>
        <w:t xml:space="preserve">Conclusion: The Venezuela Caracas Sales Blueprint</w:t>
      </w:r>
    </w:p>
    <w:p>
      <w:pPr>
        <w:pStyle w:val="FirstParagraph"/>
      </w:pPr>
      <w:r>
        <w:t xml:space="preserve">This comprehensive Sales Report demonstrates that the Musician's success in Venezuela Caracas isn't accidental. It stems from a deep understanding that commercial viability in this market requires cultural immersion, not just distribution. By prioritizing the Venezuelan context – from pricing strategy to artistic collaboration – this Musician has achieved results surpassing regional industry averages by 217%. The data clearly shows that when a Musician genuinely engages with Venezuela Caracas' community (not just its market), sales performance transforms from transactional to transformative.</w:t>
      </w:r>
    </w:p>
    <w:p>
      <w:pPr>
        <w:pStyle w:val="BodyText"/>
      </w:pPr>
      <w:r>
        <w:t xml:space="preserve">As we finalize this Sales Report, the roadmap is clear: Continue deepening ties within Caracas' cultural landscape. Our next objective is to achieve $250,000 in Venezuela Caracas revenue by Q4 2024 through the strategies proven effective in this report. For any Musician seeking success in Venezuela, the lesson from this Sales Report is unequivocal: Adapt to Caracas, not just for sales – but for lasting connection.</w:t>
      </w:r>
    </w:p>
    <w:p>
      <w:pPr>
        <w:pStyle w:val="BodyText"/>
      </w:pPr>
      <w:r>
        <w:rPr>
          <w:bCs/>
          <w:b/>
        </w:rPr>
        <w:t xml:space="preserve">Prepared By:</w:t>
      </w:r>
      <w:r>
        <w:t xml:space="preserve"> </w:t>
      </w:r>
      <w:r>
        <w:t xml:space="preserve">Global Music Analytics Team</w:t>
      </w:r>
      <w:r>
        <w:br/>
      </w:r>
      <w:r>
        <w:rPr>
          <w:bCs/>
          <w:b/>
        </w:rPr>
        <w:t xml:space="preserve">Contact:</w:t>
      </w:r>
      <w:r>
        <w:t xml:space="preserve"> </w:t>
      </w:r>
      <w:r>
        <w:t xml:space="preserve">analytics@globalmusic.com |</w:t>
      </w:r>
      <w:r>
        <w:t xml:space="preserve"> </w:t>
      </w:r>
      <w:r>
        <w:rPr>
          <w:iCs/>
          <w:i/>
        </w:rPr>
        <w:t xml:space="preserve">This Sales Report adheres to all Venezuela Caracas commercial regulations and market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Venezuela Caracas Market</dc:title>
  <dc:creator/>
  <dc:language>en</dc:language>
  <cp:keywords/>
  <dcterms:created xsi:type="dcterms:W3CDTF">2026-06-03T17:53:16Z</dcterms:created>
  <dcterms:modified xsi:type="dcterms:W3CDTF">2026-06-03T17:53:16Z</dcterms:modified>
</cp:coreProperties>
</file>

<file path=docProps/custom.xml><?xml version="1.0" encoding="utf-8"?>
<Properties xmlns="http://schemas.openxmlformats.org/officeDocument/2006/custom-properties" xmlns:vt="http://schemas.openxmlformats.org/officeDocument/2006/docPropsVTypes"/>
</file>