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302ede5bad26a482b489e0423517738430cb0e6"/>
    <w:p>
      <w:pPr>
        <w:pStyle w:val="Heading1"/>
      </w:pPr>
      <w:r>
        <w:t xml:space="preserve">Comprehensive Sales Report: Musician Performance Analysis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Management Division</w:t>
      </w:r>
      <w:r>
        <w:br/>
      </w:r>
      <w:r>
        <w:rPr>
          <w:bCs/>
          <w:b/>
        </w:rPr>
        <w:t xml:space="preserve">Report Period:</w:t>
      </w:r>
      <w:r>
        <w:t xml:space="preserve"> </w:t>
      </w:r>
      <w:r>
        <w:t xml:space="preserve">January 1 - September 30, 2023</w:t>
      </w:r>
      <w:r>
        <w:br/>
      </w:r>
      <w:r>
        <w:rPr>
          <w:bCs/>
          <w:b/>
        </w:rPr>
        <w:t xml:space="preserve">Coverage Area:</w:t>
      </w:r>
      <w:r>
        <w:t xml:space="preserve"> </w:t>
      </w:r>
      <w:r>
        <w:t xml:space="preserve">Vietnam Ho Chi Minh City (HCMC)</w:t>
      </w:r>
    </w:p>
    <w:bookmarkStart w:id="20" w:name="i.-executive-summary"/>
    <w:p>
      <w:pPr>
        <w:pStyle w:val="Heading2"/>
      </w:pPr>
      <w:r>
        <w:t xml:space="preserve">I. Executive Summary</w:t>
      </w:r>
    </w:p>
    <w:p>
      <w:pPr>
        <w:pStyle w:val="FirstParagraph"/>
      </w:pPr>
      <w:r>
        <w:t xml:space="preserve">This Sales Report details the commercial performance of a professional Musician operating within the vibrant entertainment ecosystem of Vietnam Ho Chi Minh City. As HCMC continues to emerge as Southeast Asia's premier cultural and economic hub, this report demonstrates how strategic musical offerings directly translate into measurable sales growth. The Musician achieved a 37% year-over-year revenue increase in the HCMC market, generating $142,800 across live performances, digital streaming, and merchandise sales. This success underscores the untapped potential for globally-minded Musicians within Vietnam's rapidly expanding music industry.</w:t>
      </w:r>
    </w:p>
    <w:bookmarkEnd w:id="20"/>
    <w:bookmarkStart w:id="21" w:name="Xb4cf51759cd56363e1888d6d39ed42e4d43df86"/>
    <w:p>
      <w:pPr>
        <w:pStyle w:val="Heading2"/>
      </w:pPr>
      <w:r>
        <w:t xml:space="preserve">II. Market Context: Ho Chi Minh City as a Music Capital</w:t>
      </w:r>
    </w:p>
    <w:p>
      <w:pPr>
        <w:pStyle w:val="FirstParagraph"/>
      </w:pPr>
      <w:r>
        <w:t xml:space="preserve">Ho Chi Minh City (HCMC) represents more than 30% of Vietnam's total entertainment revenue, with its nightlife and cultural venues driving unprecedented demand for live music. The city's recent infrastructure developments—including the $450 million Saigon Performing Arts Center and expanded district-level concert venues—have created an ideal environment for a dedicated Musician to thrive. This Sales Report confirms that HCMC now hosts over 12,000 music-related events annually, with 68% occurring in commercial districts like District 1 and District 3. The local audience exhibits strong purchasing power (average ticket spend: $25-$45), making Vietnam Ho Chi Minh City a critical market for any Musician seeking sustainable growth.</w:t>
      </w:r>
    </w:p>
    <w:bookmarkEnd w:id="21"/>
    <w:bookmarkStart w:id="25" w:name="iii.-detailed-sales-performance-analysis"/>
    <w:p>
      <w:pPr>
        <w:pStyle w:val="Heading2"/>
      </w:pPr>
      <w:r>
        <w:t xml:space="preserve">III. Detailed Sales Performance Analysis</w:t>
      </w:r>
    </w:p>
    <w:bookmarkStart w:id="22" w:name="a.-live-performance-revenue-streams"/>
    <w:p>
      <w:pPr>
        <w:pStyle w:val="Heading3"/>
      </w:pPr>
      <w:r>
        <w:t xml:space="preserve">A. Live Performance 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Event Type</w:t>
            </w:r>
          </w:p>
        </w:tc>
        <w:tc>
          <w:tcPr/>
          <w:p>
            <w:pPr>
              <w:pStyle w:val="Compact"/>
              <w:jc w:val="left"/>
            </w:pPr>
            <w:r>
              <w:t xml:space="preserve">Number of Shows (2023)</w:t>
            </w:r>
          </w:p>
        </w:tc>
        <w:tc>
          <w:tcPr/>
          <w:p>
            <w:pPr>
              <w:pStyle w:val="Compact"/>
              <w:jc w:val="left"/>
            </w:pPr>
            <w:r>
              <w:t xml:space="preserve">Avg. Ticket Price (VND)</w:t>
            </w:r>
          </w:p>
        </w:tc>
        <w:tc>
          <w:tcPr/>
          <w:p>
            <w:pPr>
              <w:pStyle w:val="Compact"/>
              <w:jc w:val="left"/>
            </w:pPr>
            <w:r>
              <w:t xml:space="preserve">Total Revenue (VND)</w:t>
            </w:r>
          </w:p>
        </w:tc>
      </w:tr>
      <w:tr>
        <w:tc>
          <w:tcPr/>
          <w:p>
            <w:pPr>
              <w:pStyle w:val="Compact"/>
              <w:jc w:val="left"/>
            </w:pPr>
            <w:r>
              <w:t xml:space="preserve">Lounge/Bar Performances</w:t>
            </w:r>
          </w:p>
        </w:tc>
        <w:tc>
          <w:tcPr/>
          <w:p>
            <w:pPr>
              <w:pStyle w:val="Compact"/>
              <w:jc w:val="left"/>
            </w:pPr>
            <w:r>
              <w:t xml:space="preserve">47</w:t>
            </w:r>
          </w:p>
        </w:tc>
        <w:tc>
          <w:tcPr/>
          <w:p>
            <w:pPr>
              <w:pStyle w:val="Compact"/>
              <w:jc w:val="left"/>
            </w:pPr>
            <w:r>
              <w:t xml:space="preserve">850,000</w:t>
            </w:r>
          </w:p>
        </w:tc>
        <w:tc>
          <w:tcPr/>
          <w:p>
            <w:pPr>
              <w:pStyle w:val="Compact"/>
              <w:jc w:val="left"/>
            </w:pPr>
            <w:r>
              <w:t xml:space="preserve">39,950,000</w:t>
            </w:r>
          </w:p>
        </w:tc>
      </w:tr>
      <w:tr>
        <w:tc>
          <w:tcPr/>
          <w:p>
            <w:pPr>
              <w:pStyle w:val="Compact"/>
              <w:jc w:val="left"/>
            </w:pPr>
            <w:r>
              <w:t xml:space="preserve">Solo Concerts (2-3 hr)</w:t>
            </w:r>
          </w:p>
        </w:tc>
        <w:tc>
          <w:tcPr/>
          <w:p>
            <w:pPr>
              <w:pStyle w:val="Compact"/>
              <w:jc w:val="left"/>
            </w:pPr>
            <w:r>
              <w:t xml:space="preserve">12</w:t>
            </w:r>
          </w:p>
        </w:tc>
        <w:tc>
          <w:tcPr/>
          <w:p>
            <w:pPr>
              <w:pStyle w:val="Compact"/>
              <w:jc w:val="left"/>
            </w:pPr>
            <w:r>
              <w:t xml:space="preserve">$32.75 (USD)</w:t>
            </w:r>
          </w:p>
        </w:tc>
        <w:tc>
          <w:tcPr/>
          <w:p>
            <w:pPr>
              <w:pStyle w:val="Compact"/>
              <w:jc w:val="left"/>
            </w:pPr>
            <w:r>
              <w:t xml:space="preserve">48,489</w:t>
            </w:r>
          </w:p>
        </w:tc>
      </w:tr>
      <w:tr>
        <w:tc>
          <w:tcPr/>
          <w:p>
            <w:pPr>
              <w:pStyle w:val="Compact"/>
              <w:jc w:val="left"/>
            </w:pPr>
            <w:r>
              <w:t xml:space="preserve">Festival Appearances</w:t>
            </w:r>
          </w:p>
        </w:tc>
        <w:tc>
          <w:tcPr/>
          <w:p>
            <w:pPr>
              <w:pStyle w:val="Compact"/>
              <w:jc w:val="left"/>
            </w:pPr>
            <w:r>
              <w:t xml:space="preserve">5</w:t>
            </w:r>
          </w:p>
        </w:tc>
        <w:tc>
          <w:tcPr/>
          <w:p>
            <w:pPr>
              <w:pStyle w:val="Compact"/>
              <w:jc w:val="left"/>
            </w:pPr>
            <w:r>
              <w:t xml:space="preserve">$1,100 (USD)</w:t>
            </w:r>
          </w:p>
        </w:tc>
        <w:tc>
          <w:tcPr/>
          <w:p>
            <w:pPr>
              <w:pStyle w:val="Compact"/>
              <w:jc w:val="left"/>
            </w:pPr>
            <w:r>
              <w:t xml:space="preserve">5,500</w:t>
            </w:r>
          </w:p>
        </w:tc>
      </w:tr>
    </w:tbl>
    <w:p>
      <w:pPr>
        <w:pStyle w:val="BodyText"/>
      </w:pPr>
      <w:r>
        <w:t xml:space="preserve">The Musician's strategic focus on high-traffic venues like Saigon Zoo &amp; Amusement Park and The Reverie Hotel generated exceptional results. Notably, the "HCMC Summer Melody" festival engagement yielded a 23% higher average ticket price than market baseline. This Sales Report emphasizes that localized event partnerships—particularly with Vietnamese cultural organizations—directly correlate with increased sales conversion rates in Vietnam Ho Chi Minh City.</w:t>
      </w:r>
    </w:p>
    <w:bookmarkEnd w:id="22"/>
    <w:bookmarkStart w:id="23" w:name="b.-digital-sales-streaming-performance"/>
    <w:p>
      <w:pPr>
        <w:pStyle w:val="Heading3"/>
      </w:pPr>
      <w:r>
        <w:t xml:space="preserve">B. Digital Sales &amp; Streaming Performance</w:t>
      </w:r>
    </w:p>
    <w:p>
      <w:pPr>
        <w:pStyle w:val="FirstParagraph"/>
      </w:pPr>
      <w:r>
        <w:t xml:space="preserve">Streaming revenue grew by 202% YoY, driven by strategic localization efforts:</w:t>
      </w:r>
    </w:p>
    <w:p>
      <w:pPr>
        <w:numPr>
          <w:ilvl w:val="0"/>
          <w:numId w:val="1001"/>
        </w:numPr>
        <w:pStyle w:val="Compact"/>
      </w:pPr>
      <w:r>
        <w:t xml:space="preserve">78% of digital sales came from Vietnamese users (up from 41% in 2021)</w:t>
      </w:r>
    </w:p>
    <w:p>
      <w:pPr>
        <w:numPr>
          <w:ilvl w:val="0"/>
          <w:numId w:val="1001"/>
        </w:numPr>
        <w:pStyle w:val="Compact"/>
      </w:pPr>
      <w:r>
        <w:t xml:space="preserve">"HCMC Nights" EP achieved #3 on Spotify Vietnam charts for 6 weeks</w:t>
      </w:r>
    </w:p>
    <w:p>
      <w:pPr>
        <w:numPr>
          <w:ilvl w:val="0"/>
          <w:numId w:val="1001"/>
        </w:numPr>
        <w:pStyle w:val="Compact"/>
      </w:pPr>
      <w:r>
        <w:t xml:space="preserve">YouTube views increased by 315%, with "Saigon Street Beats" video reaching 850,000 views</w:t>
      </w:r>
    </w:p>
    <w:p>
      <w:pPr>
        <w:pStyle w:val="FirstParagraph"/>
      </w:pPr>
      <w:r>
        <w:t xml:space="preserve">This demonstrates how a Musician can leverage digital platforms to build audience loyalty in Vietnam Ho Chi Minh City, converting online engagement into tangible sales. The Sales Report identifies that Vietnamese audiences now consume 3.2x more local music content than before the pandemic.</w:t>
      </w:r>
    </w:p>
    <w:bookmarkEnd w:id="23"/>
    <w:bookmarkStart w:id="24" w:name="c.-merchandise-ancillary-revenue"/>
    <w:p>
      <w:pPr>
        <w:pStyle w:val="Heading3"/>
      </w:pPr>
      <w:r>
        <w:t xml:space="preserve">C. Merchandise &amp; Ancillary Revenue</w:t>
      </w:r>
    </w:p>
    <w:p>
      <w:pPr>
        <w:pStyle w:val="FirstParagraph"/>
      </w:pPr>
      <w:r>
        <w:t xml:space="preserve">Merchandising represents a rapidly growing segment:</w:t>
      </w:r>
    </w:p>
    <w:p>
      <w:pPr>
        <w:numPr>
          <w:ilvl w:val="0"/>
          <w:numId w:val="1002"/>
        </w:numPr>
        <w:pStyle w:val="Compact"/>
      </w:pPr>
      <w:r>
        <w:t xml:space="preserve">T-shirt sales: $5,800 (2022: $1,950)</w:t>
      </w:r>
    </w:p>
    <w:p>
      <w:pPr>
        <w:numPr>
          <w:ilvl w:val="0"/>
          <w:numId w:val="1002"/>
        </w:numPr>
        <w:pStyle w:val="Compact"/>
      </w:pPr>
      <w:r>
        <w:t xml:space="preserve">Custom vinyl records (featuring HCMC skyline): $3,450</w:t>
      </w:r>
    </w:p>
    <w:p>
      <w:pPr>
        <w:numPr>
          <w:ilvl w:val="0"/>
          <w:numId w:val="1002"/>
        </w:numPr>
        <w:pStyle w:val="Compact"/>
      </w:pPr>
      <w:r>
        <w:t xml:space="preserve">Exclusive digital bundles (e.g., "HCMC Soundtrack"): $1,875</w:t>
      </w:r>
    </w:p>
    <w:p>
      <w:pPr>
        <w:pStyle w:val="FirstParagraph"/>
      </w:pPr>
      <w:r>
        <w:t xml:space="preserve">The Musician's collaboration with local artisans for limited-edition merchandise directly resonated with Vietnamese consumers' preference for culturally meaningful products. This Sales Report confirms that 64% of merchandise buyers in HCMC are repeat customers—proving the value of community-focused branding.</w:t>
      </w:r>
    </w:p>
    <w:bookmarkEnd w:id="24"/>
    <w:bookmarkEnd w:id="25"/>
    <w:bookmarkStart w:id="26" w:name="iv.-competitive-landscape-analysis"/>
    <w:p>
      <w:pPr>
        <w:pStyle w:val="Heading2"/>
      </w:pPr>
      <w:r>
        <w:t xml:space="preserve">IV. Competitive Landscape Analysis</w:t>
      </w:r>
    </w:p>
    <w:p>
      <w:pPr>
        <w:pStyle w:val="FirstParagraph"/>
      </w:pPr>
      <w:r>
        <w:t xml:space="preserve">HCMC's music market has seen 35 new venues open since 2021, creating both opportunities and challenges for any Musician. The Sales Report reveals key differentiators:</w:t>
      </w:r>
    </w:p>
    <w:p>
      <w:pPr>
        <w:numPr>
          <w:ilvl w:val="0"/>
          <w:numId w:val="1003"/>
        </w:numPr>
        <w:pStyle w:val="Compact"/>
      </w:pPr>
      <w:r>
        <w:rPr>
          <w:bCs/>
          <w:b/>
        </w:rPr>
        <w:t xml:space="preserve">Local Cultural Integration:</w:t>
      </w:r>
      <w:r>
        <w:t xml:space="preserve"> </w:t>
      </w:r>
      <w:r>
        <w:t xml:space="preserve">The Musician's incorporation of traditional Vietnamese instruments (đàn tranh, sáo) in modern arrangements outperformed 89% of competitors in audience engagement surveys.</w:t>
      </w:r>
    </w:p>
    <w:p>
      <w:pPr>
        <w:numPr>
          <w:ilvl w:val="0"/>
          <w:numId w:val="1003"/>
        </w:numPr>
        <w:pStyle w:val="Compact"/>
      </w:pPr>
      <w:r>
        <w:rPr>
          <w:bCs/>
          <w:b/>
        </w:rPr>
        <w:t xml:space="preserve">Pricing Strategy:</w:t>
      </w:r>
      <w:r>
        <w:t xml:space="preserve"> </w:t>
      </w:r>
      <w:r>
        <w:t xml:space="preserve">Offering tiered pricing ($15-$75) aligned with HCMC's $30 average concert expenditure, while competitors primarily charged $25-$40 flat rates.</w:t>
      </w:r>
    </w:p>
    <w:p>
      <w:pPr>
        <w:numPr>
          <w:ilvl w:val="0"/>
          <w:numId w:val="1003"/>
        </w:numPr>
        <w:pStyle w:val="Compact"/>
      </w:pPr>
      <w:r>
        <w:rPr>
          <w:bCs/>
          <w:b/>
        </w:rPr>
        <w:t xml:space="preserve">Community Building:</w:t>
      </w:r>
      <w:r>
        <w:t xml:space="preserve"> </w:t>
      </w:r>
      <w:r>
        <w:t xml:space="preserve">Free monthly "Musician Meet &amp; Greet" events at District 3 cafes generated 28% more social media buzz than standard venue promotions.</w:t>
      </w:r>
    </w:p>
    <w:p>
      <w:pPr>
        <w:pStyle w:val="FirstParagraph"/>
      </w:pPr>
      <w:r>
        <w:t xml:space="preserve">A significant competitive advantage emerged through the Musician's partnerships with Vietnamese youth organizations—proving that cultural authenticity drives sales in Vietnam Ho Chi Minh City. The Sales Report documents a 41% higher fan retention rate compared to foreign artists who lack localized content.</w:t>
      </w:r>
    </w:p>
    <w:bookmarkEnd w:id="26"/>
    <w:bookmarkStart w:id="27" w:name="v.-strategic-recommendations-for-growth"/>
    <w:p>
      <w:pPr>
        <w:pStyle w:val="Heading2"/>
      </w:pPr>
      <w:r>
        <w:t xml:space="preserve">V. Strategic Recommendations for Growth</w:t>
      </w:r>
    </w:p>
    <w:p>
      <w:pPr>
        <w:pStyle w:val="FirstParagraph"/>
      </w:pPr>
      <w:r>
        <w:t xml:space="preserve">To capitalize on HCMC's growth trajectory, this Sales Report recommends:</w:t>
      </w:r>
    </w:p>
    <w:p>
      <w:pPr>
        <w:numPr>
          <w:ilvl w:val="0"/>
          <w:numId w:val="1004"/>
        </w:numPr>
        <w:pStyle w:val="Compact"/>
      </w:pPr>
      <w:r>
        <w:rPr>
          <w:bCs/>
          <w:b/>
        </w:rPr>
        <w:t xml:space="preserve">Expand Local Collaborations:</w:t>
      </w:r>
      <w:r>
        <w:t xml:space="preserve"> </w:t>
      </w:r>
      <w:r>
        <w:t xml:space="preserve">Partner with 3+ Vietnamese music schools for "Masterclass Series" to deepen community roots and create recurring revenue streams.</w:t>
      </w:r>
    </w:p>
    <w:p>
      <w:pPr>
        <w:numPr>
          <w:ilvl w:val="0"/>
          <w:numId w:val="1004"/>
        </w:numPr>
        <w:pStyle w:val="Compact"/>
      </w:pPr>
      <w:r>
        <w:rPr>
          <w:bCs/>
          <w:b/>
        </w:rPr>
        <w:t xml:space="preserve">Launch HCMC-Specific Merchandise Line:</w:t>
      </w:r>
      <w:r>
        <w:t xml:space="preserve"> </w:t>
      </w:r>
      <w:r>
        <w:t xml:space="preserve">Develop limited editions featuring iconic city landmarks (e.g., Notre Dame Cathedral, Bitexco Tower) to leverage local pride.</w:t>
      </w:r>
    </w:p>
    <w:p>
      <w:pPr>
        <w:numPr>
          <w:ilvl w:val="0"/>
          <w:numId w:val="1004"/>
        </w:numPr>
        <w:pStyle w:val="Compact"/>
      </w:pPr>
      <w:r>
        <w:rPr>
          <w:bCs/>
          <w:b/>
        </w:rPr>
        <w:t xml:space="preserve">Create "Saigon Sound" Streaming Campaign:</w:t>
      </w:r>
      <w:r>
        <w:t xml:space="preserve"> </w:t>
      </w:r>
      <w:r>
        <w:t xml:space="preserve">Partner with Zing MP3 and Spotify Vietnam for curated playlists targeting HCMC audiences during peak travel seasons (Nov-Jan).</w:t>
      </w:r>
    </w:p>
    <w:p>
      <w:pPr>
        <w:numPr>
          <w:ilvl w:val="0"/>
          <w:numId w:val="1004"/>
        </w:numPr>
        <w:pStyle w:val="Compact"/>
      </w:pPr>
      <w:r>
        <w:rPr>
          <w:bCs/>
          <w:b/>
        </w:rPr>
        <w:t xml:space="preserve">Host Annual "Vietnam Music Summit":</w:t>
      </w:r>
      <w:r>
        <w:t xml:space="preserve"> </w:t>
      </w:r>
      <w:r>
        <w:t xml:space="preserve">Position the Musician as an industry leader while attracting international buyers through HCMC's growing tourism infrastructure.</w:t>
      </w:r>
    </w:p>
    <w:bookmarkEnd w:id="27"/>
    <w:bookmarkStart w:id="28" w:name="Xbed5d3a0b4bd1dedada94ca786e78b945e8acbf"/>
    <w:p>
      <w:pPr>
        <w:pStyle w:val="Heading2"/>
      </w:pPr>
      <w:r>
        <w:t xml:space="preserve">VI. Conclusion: The Future of the Musician in Vietnam Ho Chi Minh City</w:t>
      </w:r>
    </w:p>
    <w:p>
      <w:pPr>
        <w:pStyle w:val="FirstParagraph"/>
      </w:pPr>
      <w:r>
        <w:t xml:space="preserve">This Sales Report unequivocally demonstrates that Vietnam Ho Chi Minh City is not merely a market—but the epicenter for musical innovation in Southeast Asia. The Musician's 37% revenue growth validates that culturally intelligent approaches yield exceptional results, far exceeding global industry averages (18%). As HCMC continues to develop as an ASEAN cultural capital with over 9 million residents and growing disposable income, strategic investments in this market will deliver compounding returns.</w:t>
      </w:r>
    </w:p>
    <w:p>
      <w:pPr>
        <w:pStyle w:val="BodyText"/>
      </w:pPr>
      <w:r>
        <w:t xml:space="preserve">Crucially, the Sales Report identifies that success requires more than musical talent; it demands a deep understanding of Vietnam's unique consumer behavior. The Musician's ability to blend global artistry with HCMC-specific cultural elements has created a sustainable sales model where 73% of revenue now comes from repeat local customers—proving that authentic connection drives commercial success. For any Musician targeting Vietnam, Ho Chi Minh City represents the most promising single city market in Southeast Asia, offering unparalleled growth potential when approached with cultural intelligence and strategic local engagement.</w:t>
      </w:r>
    </w:p>
    <w:p>
      <w:pPr>
        <w:pStyle w:val="BodyText"/>
      </w:pPr>
      <w:r>
        <w:rPr>
          <w:iCs/>
          <w:i/>
        </w:rPr>
        <w:t xml:space="preserve">Prepared by: Global Entertainment Analytics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in Ho Chi Minh City</dc:title>
  <dc:creator/>
  <dc:language>en</dc:language>
  <cp:keywords/>
  <dcterms:created xsi:type="dcterms:W3CDTF">2025-12-10T08:47:55Z</dcterms:created>
  <dcterms:modified xsi:type="dcterms:W3CDTF">2025-12-10T08:47:55Z</dcterms:modified>
</cp:coreProperties>
</file>

<file path=docProps/custom.xml><?xml version="1.0" encoding="utf-8"?>
<Properties xmlns="http://schemas.openxmlformats.org/officeDocument/2006/custom-properties" xmlns:vt="http://schemas.openxmlformats.org/officeDocument/2006/docPropsVTypes"/>
</file>