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Services</w:t>
      </w:r>
      <w:r>
        <w:t xml:space="preserve"> </w:t>
      </w:r>
      <w:r>
        <w:t xml:space="preserve">Sales</w:t>
      </w:r>
      <w:r>
        <w:t xml:space="preserve"> </w:t>
      </w:r>
      <w:r>
        <w:t xml:space="preserve">Report</w:t>
      </w:r>
      <w:r>
        <w:t xml:space="preserve"> </w:t>
      </w:r>
      <w:r>
        <w:t xml:space="preserve">-</w:t>
      </w:r>
      <w:r>
        <w:t xml:space="preserve"> </w:t>
      </w:r>
      <w:r>
        <w:t xml:space="preserve">Melbourne</w:t>
      </w:r>
      <w:r>
        <w:t xml:space="preserve"> </w:t>
      </w:r>
      <w:r>
        <w:t xml:space="preserve">Australia</w:t>
      </w:r>
    </w:p>
    <w:bookmarkStart w:id="28" w:name="Xaddceeeb80b473f0e500a942da69295039f7efb"/>
    <w:p>
      <w:pPr>
        <w:pStyle w:val="Heading1"/>
      </w:pPr>
      <w:r>
        <w:t xml:space="preserve">Nursing Services Sales Performance Report</w:t>
      </w:r>
    </w:p>
    <w:bookmarkStart w:id="20" w:name="melbourne-victoria---australia-q3-2023"/>
    <w:p>
      <w:pPr>
        <w:pStyle w:val="Heading2"/>
      </w:pPr>
      <w:r>
        <w:t xml:space="preserve">Melbourne, Victoria - Australia | Q3 2023</w:t>
      </w:r>
    </w:p>
    <w:p>
      <w:pPr>
        <w:pStyle w:val="FirstParagraph"/>
      </w:pPr>
      <w:r>
        <w:t xml:space="preserve">Prepared for Leadership Team, Nursing Resource Agency Pty Ltd</w:t>
      </w:r>
    </w:p>
    <w:bookmarkEnd w:id="20"/>
    <w:bookmarkStart w:id="21" w:name="executive-summary"/>
    <w:p>
      <w:pPr>
        <w:pStyle w:val="Heading2"/>
      </w:pPr>
      <w:r>
        <w:t xml:space="preserve">Executive Summary</w:t>
      </w:r>
    </w:p>
    <w:p>
      <w:pPr>
        <w:pStyle w:val="FirstParagraph"/>
      </w:pPr>
      <w:r>
        <w:t xml:space="preserve">This comprehensive Sales Report details the performance of our nursing workforce across metropolitan Melbourne, Victoria. The report analyzes placement metrics, revenue generation, and market trends specifically for qualified Nurses operating within the Australian healthcare ecosystem. As Melbourne's leading nurse staffing agency serving over 80 healthcare facilities in Australia Melbourne region, we achieved a 12.7% year-over-year growth in billable hours during Q3 2023. This success underscores our strategic focus on matching highly skilled Nurses with critical care needs across hospitals, aged care facilities, and community health services throughout Victoria.</w:t>
      </w:r>
    </w:p>
    <w:bookmarkEnd w:id="21"/>
    <w:bookmarkStart w:id="22" w:name="key-performance-metrics"/>
    <w:p>
      <w:pPr>
        <w:pStyle w:val="Heading2"/>
      </w:pPr>
      <w:r>
        <w:t xml:space="preserve">Key Performance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YoY Change</w:t>
            </w:r>
          </w:p>
        </w:tc>
        <w:tc>
          <w:tcPr/>
          <w:p>
            <w:pPr>
              <w:pStyle w:val="Compact"/>
              <w:jc w:val="left"/>
            </w:pPr>
            <w:r>
              <w:t xml:space="preserve">Target</w:t>
            </w:r>
          </w:p>
        </w:tc>
      </w:tr>
      <w:tr>
        <w:tc>
          <w:tcPr/>
          <w:p>
            <w:pPr>
              <w:pStyle w:val="Compact"/>
              <w:jc w:val="left"/>
            </w:pPr>
            <w:r>
              <w:t xml:space="preserve">Total Nurse Placements</w:t>
            </w:r>
          </w:p>
        </w:tc>
        <w:tc>
          <w:tcPr/>
          <w:p>
            <w:pPr>
              <w:pStyle w:val="Compact"/>
              <w:jc w:val="left"/>
            </w:pPr>
            <w:r>
              <w:t xml:space="preserve">4,872</w:t>
            </w:r>
          </w:p>
        </w:tc>
        <w:tc>
          <w:tcPr/>
          <w:p>
            <w:pPr>
              <w:pStyle w:val="Compact"/>
              <w:jc w:val="left"/>
            </w:pPr>
            <w:r>
              <w:t xml:space="preserve">+15.3%</w:t>
            </w:r>
          </w:p>
        </w:tc>
        <w:tc>
          <w:tcPr/>
          <w:p>
            <w:pPr>
              <w:pStyle w:val="Compact"/>
              <w:jc w:val="left"/>
            </w:pPr>
            <w:r>
              <w:t xml:space="preserve">4,500</w:t>
            </w:r>
          </w:p>
        </w:tc>
      </w:tr>
      <w:tr>
        <w:tc>
          <w:tcPr/>
          <w:p>
            <w:pPr>
              <w:pStyle w:val="Compact"/>
              <w:jc w:val="left"/>
            </w:pPr>
            <w:r>
              <w:t xml:space="preserve">Billable Hours Generated</w:t>
            </w:r>
          </w:p>
        </w:tc>
        <w:tc>
          <w:tcPr/>
          <w:p>
            <w:pPr>
              <w:pStyle w:val="Compact"/>
              <w:jc w:val="left"/>
            </w:pPr>
            <w:r>
              <w:t xml:space="preserve">89,453 hrs</w:t>
            </w:r>
          </w:p>
        </w:tc>
        <w:tc>
          <w:tcPr/>
          <w:p>
            <w:pPr>
              <w:pStyle w:val="Compact"/>
              <w:jc w:val="left"/>
            </w:pPr>
            <w:r>
              <w:t xml:space="preserve">+12.7%</w:t>
            </w:r>
          </w:p>
        </w:tc>
        <w:tc>
          <w:tcPr/>
          <w:p>
            <w:pPr>
              <w:pStyle w:val="Compact"/>
              <w:jc w:val="left"/>
            </w:pPr>
            <w:r>
              <w:t xml:space="preserve">80,000 hrs</w:t>
            </w:r>
          </w:p>
        </w:tc>
      </w:tr>
      <w:tr>
        <w:tc>
          <w:tcPr/>
          <w:p>
            <w:pPr>
              <w:pStyle w:val="Compact"/>
              <w:jc w:val="left"/>
            </w:pPr>
            <w:r>
              <w:t xml:space="preserve">Revenue from Nurse Services</w:t>
            </w:r>
          </w:p>
        </w:tc>
        <w:tc>
          <w:tcPr/>
          <w:p>
            <w:pPr>
              <w:pStyle w:val="Compact"/>
              <w:jc w:val="left"/>
            </w:pPr>
            <w:r>
              <w:t xml:space="preserve">$9,672,540 AUD</w:t>
            </w:r>
          </w:p>
        </w:tc>
        <w:tc>
          <w:tcPr/>
          <w:p>
            <w:pPr>
              <w:pStyle w:val="Compact"/>
              <w:jc w:val="left"/>
            </w:pPr>
            <w:r>
              <w:t xml:space="preserve">+14.8%</w:t>
            </w:r>
          </w:p>
        </w:tc>
        <w:tc>
          <w:tcPr/>
          <w:p>
            <w:pPr>
              <w:pStyle w:val="Compact"/>
              <w:jc w:val="left"/>
            </w:pPr>
            <w:r>
              <w:t xml:space="preserve">$8,500,000 AUD</w:t>
            </w:r>
          </w:p>
        </w:tc>
      </w:tr>
      <w:tr>
        <w:tc>
          <w:tcPr/>
          <w:p>
            <w:pPr>
              <w:pStyle w:val="Compact"/>
              <w:jc w:val="left"/>
            </w:pPr>
            <w:r>
              <w:t xml:space="preserve">Nurse Retention Rate</w:t>
            </w:r>
          </w:p>
        </w:tc>
        <w:tc>
          <w:tcPr/>
          <w:p>
            <w:pPr>
              <w:pStyle w:val="Compact"/>
              <w:jc w:val="left"/>
            </w:pPr>
            <w:r>
              <w:t xml:space="preserve">86.7%</w:t>
            </w:r>
          </w:p>
        </w:tc>
        <w:tc>
          <w:tcPr/>
          <w:p>
            <w:pPr>
              <w:pStyle w:val="Compact"/>
              <w:jc w:val="left"/>
            </w:pPr>
            <w:r>
              <w:t xml:space="preserve">+4.2%</w:t>
            </w:r>
          </w:p>
        </w:tc>
        <w:tc>
          <w:tcPr/>
          <w:p>
            <w:pPr>
              <w:pStyle w:val="Compact"/>
              <w:jc w:val="left"/>
            </w:pPr>
            <w:r>
              <w:t xml:space="preserve">80.0%</w:t>
            </w:r>
          </w:p>
        </w:tc>
      </w:tr>
      <w:tr>
        <w:tc>
          <w:tcPr/>
          <w:p>
            <w:pPr>
              <w:pStyle w:val="Compact"/>
              <w:jc w:val="left"/>
            </w:pPr>
            <w:r>
              <w:t xml:space="preserve">Avg. Client Satisfaction</w:t>
            </w:r>
          </w:p>
        </w:tc>
        <w:tc>
          <w:tcPr/>
          <w:p>
            <w:pPr>
              <w:pStyle w:val="Compact"/>
              <w:jc w:val="left"/>
            </w:pPr>
            <w:r>
              <w:t xml:space="preserve">4.7/5.0</w:t>
            </w:r>
          </w:p>
        </w:tc>
        <w:tc>
          <w:tcPr/>
          <w:p>
            <w:pPr>
              <w:pStyle w:val="Compact"/>
              <w:jc w:val="left"/>
            </w:pPr>
            <w:r>
              <w:t xml:space="preserve">+0.3</w:t>
            </w:r>
          </w:p>
        </w:tc>
        <w:tc>
          <w:tcPr/>
          <w:p>
            <w:pPr>
              <w:pStyle w:val="Compact"/>
              <w:jc w:val="left"/>
            </w:pPr>
            <w:r>
              <w:t xml:space="preserve">4.5/5.0</w:t>
            </w:r>
          </w:p>
        </w:tc>
      </w:tr>
    </w:tbl>
    <w:bookmarkEnd w:id="22"/>
    <w:bookmarkStart w:id="23" w:name="melbourne-regional-analysis"/>
    <w:p>
      <w:pPr>
        <w:pStyle w:val="Heading2"/>
      </w:pPr>
      <w:r>
        <w:t xml:space="preserve">Melbourne Regional Analysis</w:t>
      </w:r>
    </w:p>
    <w:p>
      <w:pPr>
        <w:pStyle w:val="FirstParagraph"/>
      </w:pPr>
      <w:r>
        <w:t xml:space="preserve">The Melbourne market represents 73% of our total Australia Melbourne operations. This metropolitan hub's demand for skilled Nurses has intensified due to Victoria's aging population (projected to reach 25% over 65 by 2030) and the state government's $4.2 billion investment in healthcare infrastructure through the "Victoria Health Plan." Our sales team identified three high-growth sectors:</w:t>
      </w:r>
    </w:p>
    <w:p>
      <w:pPr>
        <w:numPr>
          <w:ilvl w:val="0"/>
          <w:numId w:val="1001"/>
        </w:numPr>
        <w:pStyle w:val="Compact"/>
      </w:pPr>
      <w:r>
        <w:rPr>
          <w:bCs/>
          <w:b/>
        </w:rPr>
        <w:t xml:space="preserve">Specialized Aged Care Facilities:</w:t>
      </w:r>
      <w:r>
        <w:t xml:space="preserve"> </w:t>
      </w:r>
      <w:r>
        <w:t xml:space="preserve">32% of placements, driven by Melbourne's growing senior population. Revenue increased by 18.4% YoY as facilities prioritize registered Nurses with dementia care certification.</w:t>
      </w:r>
    </w:p>
    <w:p>
      <w:pPr>
        <w:numPr>
          <w:ilvl w:val="0"/>
          <w:numId w:val="1001"/>
        </w:numPr>
        <w:pStyle w:val="Compact"/>
      </w:pPr>
      <w:r>
        <w:rPr>
          <w:bCs/>
          <w:b/>
        </w:rPr>
        <w:t xml:space="preserve">Hospital Emergency Departments:</w:t>
      </w:r>
      <w:r>
        <w:t xml:space="preserve"> </w:t>
      </w:r>
      <w:r>
        <w:t xml:space="preserve">27% of placements, particularly at Monash Health and Royal Melbourne Hospital. Demand surged during influenza season, requiring surge capacity in our Nurse roster.</w:t>
      </w:r>
    </w:p>
    <w:p>
      <w:pPr>
        <w:numPr>
          <w:ilvl w:val="0"/>
          <w:numId w:val="1001"/>
        </w:numPr>
        <w:pStyle w:val="Compact"/>
      </w:pPr>
      <w:r>
        <w:rPr>
          <w:bCs/>
          <w:b/>
        </w:rPr>
        <w:t xml:space="preserve">Community Nursing Services:</w:t>
      </w:r>
      <w:r>
        <w:t xml:space="preserve"> </w:t>
      </w:r>
      <w:r>
        <w:t xml:space="preserve">21% of placements, expanding under the Victorian Government's "Aged Care Reform" initiative. Nurses providing home-based care generated $1.8M revenue (up 24% YoY).</w:t>
      </w:r>
    </w:p>
    <w:bookmarkEnd w:id="23"/>
    <w:bookmarkStart w:id="24" w:name="market-trends-impacting-nurse-sales"/>
    <w:p>
      <w:pPr>
        <w:pStyle w:val="Heading2"/>
      </w:pPr>
      <w:r>
        <w:t xml:space="preserve">Market Trends Impacting Nurse Sales</w:t>
      </w:r>
    </w:p>
    <w:p>
      <w:pPr>
        <w:pStyle w:val="FirstParagraph"/>
      </w:pPr>
      <w:r>
        <w:t xml:space="preserve">As Australia's largest city, Melbourne's healthcare landscape directly influences our sales strategy. Three critical trends shaped Q3 performance:</w:t>
      </w:r>
    </w:p>
    <w:p>
      <w:pPr>
        <w:numPr>
          <w:ilvl w:val="0"/>
          <w:numId w:val="1002"/>
        </w:numPr>
        <w:pStyle w:val="Compact"/>
      </w:pPr>
      <w:r>
        <w:rPr>
          <w:bCs/>
          <w:b/>
        </w:rPr>
        <w:t xml:space="preserve">Skills Shortage Crisis:</w:t>
      </w:r>
      <w:r>
        <w:t xml:space="preserve"> </w:t>
      </w:r>
      <w:r>
        <w:t xml:space="preserve">Victoria faces a 14% deficit of registered Nurses, particularly in mental health (28% shortage) and critical care. This scarcity created premium pricing opportunities (+9.2% rate increases) for our qualified Nurse talent pool.</w:t>
      </w:r>
    </w:p>
    <w:p>
      <w:pPr>
        <w:numPr>
          <w:ilvl w:val="0"/>
          <w:numId w:val="1002"/>
        </w:numPr>
        <w:pStyle w:val="Compact"/>
      </w:pPr>
      <w:r>
        <w:rPr>
          <w:bCs/>
          <w:b/>
        </w:rPr>
        <w:t xml:space="preserve">Government Policy Shifts:</w:t>
      </w:r>
      <w:r>
        <w:t xml:space="preserve"> </w:t>
      </w:r>
      <w:r>
        <w:t xml:space="preserve">The Australian Government's National Nursing Workforce Strategy increased funding for rural placements, but Melbourne-based facilities now compete fiercely for Nurses through enhanced retention packages (sign-on bonuses, professional development stipends).</w:t>
      </w:r>
    </w:p>
    <w:p>
      <w:pPr>
        <w:numPr>
          <w:ilvl w:val="0"/>
          <w:numId w:val="1002"/>
        </w:numPr>
        <w:pStyle w:val="Compact"/>
      </w:pPr>
      <w:r>
        <w:rPr>
          <w:bCs/>
          <w:b/>
        </w:rPr>
        <w:t xml:space="preserve">Technology Integration:</w:t>
      </w:r>
      <w:r>
        <w:t xml:space="preserve"> </w:t>
      </w:r>
      <w:r>
        <w:t xml:space="preserve">Facilities using digital nurse scheduling platforms (like our "NurseFlow" system) reduced onboarding time by 37%, increasing sales efficiency. 68% of new contracts now include integrated telehealth support for Nurses.</w:t>
      </w:r>
    </w:p>
    <w:bookmarkEnd w:id="24"/>
    <w:bookmarkStart w:id="25" w:name="Xf01e0faa63cef19ab04c20fcf4044658f12fce3"/>
    <w:p>
      <w:pPr>
        <w:pStyle w:val="Heading2"/>
      </w:pPr>
      <w:r>
        <w:t xml:space="preserve">Challenges in Australia Melbourne Nursing Market</w:t>
      </w:r>
    </w:p>
    <w:p>
      <w:pPr>
        <w:pStyle w:val="FirstParagraph"/>
      </w:pPr>
      <w:r>
        <w:t xml:space="preserve">Despite strong sales growth, our Sales Report identifies critical challenges requiring strategic intervention:</w:t>
      </w:r>
    </w:p>
    <w:p>
      <w:pPr>
        <w:numPr>
          <w:ilvl w:val="0"/>
          <w:numId w:val="1003"/>
        </w:numPr>
        <w:pStyle w:val="Compact"/>
      </w:pPr>
      <w:r>
        <w:rPr>
          <w:bCs/>
          <w:b/>
        </w:rPr>
        <w:t xml:space="preserve">Geographic Imbalance:</w:t>
      </w:r>
      <w:r>
        <w:t xml:space="preserve"> </w:t>
      </w:r>
      <w:r>
        <w:t xml:space="preserve">While metropolitan Melbourne shows robust demand, regional Victoria (e.g., Ballarat, Geelong) experiences severe Nurse shortages. This creates sales pressure as Melbourne facilities poach Nurses from surrounding areas.</w:t>
      </w:r>
    </w:p>
    <w:p>
      <w:pPr>
        <w:numPr>
          <w:ilvl w:val="0"/>
          <w:numId w:val="1003"/>
        </w:numPr>
        <w:pStyle w:val="Compact"/>
      </w:pPr>
      <w:r>
        <w:rPr>
          <w:bCs/>
          <w:b/>
        </w:rPr>
        <w:t xml:space="preserve">Licensing Compliance:</w:t>
      </w:r>
      <w:r>
        <w:t xml:space="preserve"> </w:t>
      </w:r>
      <w:r>
        <w:t xml:space="preserve">The Nursing Board of Australia's updated clinical competency requirements increased onboarding time by 15 days per Nurse. Our sales pipeline was temporarily constrained until we implemented a dedicated compliance task force.</w:t>
      </w:r>
    </w:p>
    <w:p>
      <w:pPr>
        <w:numPr>
          <w:ilvl w:val="0"/>
          <w:numId w:val="1003"/>
        </w:numPr>
        <w:pStyle w:val="Compact"/>
      </w:pPr>
      <w:r>
        <w:rPr>
          <w:bCs/>
          <w:b/>
        </w:rPr>
        <w:t xml:space="preserve">Competitive Landscape:</w:t>
      </w:r>
      <w:r>
        <w:t xml:space="preserve"> </w:t>
      </w:r>
      <w:r>
        <w:t xml:space="preserve">Two new national agencies entered Melbourne's market, triggering price wars in non-specialized roles. We countered with value-based pricing (emphasizing our 94% Nurse certification rate vs industry average of 82%).</w:t>
      </w:r>
    </w:p>
    <w:bookmarkEnd w:id="25"/>
    <w:bookmarkStart w:id="26" w:name="strategic-recommendations"/>
    <w:p>
      <w:pPr>
        <w:pStyle w:val="Heading2"/>
      </w:pPr>
      <w:r>
        <w:t xml:space="preserve">Strategic Recommendations</w:t>
      </w:r>
    </w:p>
    <w:p>
      <w:pPr>
        <w:pStyle w:val="FirstParagraph"/>
      </w:pPr>
      <w:r>
        <w:t xml:space="preserve">This Sales Report concludes with actionable strategies to sustain growth in the Australia Melbourne healthcare market:</w:t>
      </w:r>
    </w:p>
    <w:p>
      <w:pPr>
        <w:numPr>
          <w:ilvl w:val="0"/>
          <w:numId w:val="1004"/>
        </w:numPr>
        <w:pStyle w:val="Compact"/>
      </w:pPr>
      <w:r>
        <w:rPr>
          <w:bCs/>
          <w:b/>
        </w:rPr>
        <w:t xml:space="preserve">Expand Specialty Nurse Training:</w:t>
      </w:r>
      <w:r>
        <w:t xml:space="preserve"> </w:t>
      </w:r>
      <w:r>
        <w:t xml:space="preserve">Allocate $185,000 for certified mental health and aged care training programs. Targeting these high-demand specializations could capture an additional 12% market share in Melbourne's premium nursing segment.</w:t>
      </w:r>
    </w:p>
    <w:p>
      <w:pPr>
        <w:numPr>
          <w:ilvl w:val="0"/>
          <w:numId w:val="1004"/>
        </w:numPr>
        <w:pStyle w:val="Compact"/>
      </w:pPr>
      <w:r>
        <w:rPr>
          <w:bCs/>
          <w:b/>
        </w:rPr>
        <w:t xml:space="preserve">Develop Regional Partnership Program:</w:t>
      </w:r>
      <w:r>
        <w:t xml:space="preserve"> </w:t>
      </w:r>
      <w:r>
        <w:t xml:space="preserve">Forge agreements with regional health services to create "Nurse Mobility Pathways," addressing Melbourne's talent drain while securing long-term contracts. Pilot program in Geelong will launch Q1 2024.</w:t>
      </w:r>
    </w:p>
    <w:p>
      <w:pPr>
        <w:numPr>
          <w:ilvl w:val="0"/>
          <w:numId w:val="1004"/>
        </w:numPr>
        <w:pStyle w:val="Compact"/>
      </w:pPr>
      <w:r>
        <w:rPr>
          <w:bCs/>
          <w:b/>
        </w:rPr>
        <w:t xml:space="preserve">Implement AI-Powered Sales Analytics:</w:t>
      </w:r>
      <w:r>
        <w:t xml:space="preserve"> </w:t>
      </w:r>
      <w:r>
        <w:t xml:space="preserve">Deploy predictive tools to forecast Nurse demand spikes (e.g., flu season, hospital expansion projects). This enables proactive sales campaigns and reduces client onboarding time by 25%.</w:t>
      </w:r>
    </w:p>
    <w:bookmarkEnd w:id="26"/>
    <w:bookmarkStart w:id="27" w:name="conclusion"/>
    <w:p>
      <w:pPr>
        <w:pStyle w:val="Heading2"/>
      </w:pPr>
      <w:r>
        <w:t xml:space="preserve">Conclusion</w:t>
      </w:r>
    </w:p>
    <w:p>
      <w:pPr>
        <w:pStyle w:val="FirstParagraph"/>
      </w:pPr>
      <w:r>
        <w:t xml:space="preserve">Our Q3 Sales Report demonstrates that Melbourne's healthcare market remains a high-potential revenue driver for nursing services in Australia. The sustained growth of 14.8% in revenue from Nurse placements confirms the critical need for our agency's workforce solutions across metropolitan Victoria. As the largest city in Australia, Melbourne's healthcare sector requires strategic partnerships with agencies that understand both clinical excellence and commercial viability.</w:t>
      </w:r>
    </w:p>
    <w:p>
      <w:pPr>
        <w:pStyle w:val="BodyText"/>
      </w:pPr>
      <w:r>
        <w:t xml:space="preserve">By focusing on specialized Nurse development, regional collaboration, and technology-enabled sales operations, we will position ourselves as the premier nursing services provider for Australia Melbourne facilities. The data unequivocally shows that qualified Nurses are not merely staff members—they are our most valuable sales asset. As Victoria's healthcare demands continue to evolve under the Australian Government's National Health Plan, agencies that optimize Nurse placement efficiency will dominate this $12.6 billion market.</w:t>
      </w:r>
    </w:p>
    <w:p>
      <w:pPr>
        <w:pStyle w:val="BodyText"/>
      </w:pPr>
      <w:r>
        <w:t xml:space="preserve">Prepared by: Sarah Chen, Director of Sales &amp; Business Development</w:t>
      </w:r>
    </w:p>
    <w:p>
      <w:pPr>
        <w:pStyle w:val="BodyText"/>
      </w:pPr>
      <w:r>
        <w:t xml:space="preserve">Nursing Resource Agency Pty Ltd | Melbourne, Victoria | Australia</w:t>
      </w:r>
    </w:p>
    <w:p>
      <w:pPr>
        <w:pStyle w:val="BodyText"/>
      </w:pPr>
      <w:r>
        <w:t xml:space="preserve">Report Date: October 15, 2023</w:t>
      </w:r>
    </w:p>
    <w:p>
      <w:pPr>
        <w:pStyle w:val="BodyText"/>
      </w:pPr>
      <w:r>
        <w:rPr>
          <w:bCs/>
          <w:b/>
        </w:rPr>
        <w:t xml:space="preserve">Key Takeaway:</w:t>
      </w:r>
      <w:r>
        <w:t xml:space="preserve"> </w:t>
      </w:r>
      <w:r>
        <w:t xml:space="preserve">In the Australian healthcare landscape, successful sales of Nurse services hinge on understanding Melbourne's unique demographic pressures and aligning with Victoria's strategic health priorities. Our ability to match specialized Nurses with targeted market needs directly drives revenue growth.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Services Sales Report - Melbourne Australia</dc:title>
  <dc:creator/>
  <dc:language>en</dc:language>
  <cp:keywords/>
  <dcterms:created xsi:type="dcterms:W3CDTF">2026-07-23T08:08:27Z</dcterms:created>
  <dcterms:modified xsi:type="dcterms:W3CDTF">2026-07-23T08:08:27Z</dcterms:modified>
</cp:coreProperties>
</file>

<file path=docProps/custom.xml><?xml version="1.0" encoding="utf-8"?>
<Properties xmlns="http://schemas.openxmlformats.org/officeDocument/2006/custom-properties" xmlns:vt="http://schemas.openxmlformats.org/officeDocument/2006/docPropsVTypes"/>
</file>