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Nurse</w:t>
      </w:r>
      <w:r>
        <w:t xml:space="preserve"> </w:t>
      </w:r>
      <w:r>
        <w:t xml:space="preserve">Support</w:t>
      </w:r>
      <w:r>
        <w:t xml:space="preserve"> </w:t>
      </w:r>
      <w:r>
        <w:t xml:space="preserve">Solutions</w:t>
      </w:r>
      <w:r>
        <w:t xml:space="preserve"> </w:t>
      </w:r>
      <w:r>
        <w:t xml:space="preserve">in</w:t>
      </w:r>
      <w:r>
        <w:t xml:space="preserve"> </w:t>
      </w:r>
      <w:r>
        <w:t xml:space="preserve">China</w:t>
      </w:r>
      <w:r>
        <w:t xml:space="preserve"> </w:t>
      </w:r>
      <w:r>
        <w:t xml:space="preserve">Beijing</w:t>
      </w:r>
    </w:p>
    <w:bookmarkStart w:id="28" w:name="Xf0963507fc0083c93ab6918c366bf3def506255"/>
    <w:p>
      <w:pPr>
        <w:pStyle w:val="Heading1"/>
      </w:pPr>
      <w:r>
        <w:t xml:space="preserve">Comprehensive Sales Report: Nurse Support Solutions Market Analysis &amp; Performance in China Beijing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Beijing Regional Sales Operations Division</w:t>
      </w:r>
    </w:p>
    <w:bookmarkStart w:id="20" w:name="i.-executive-summary"/>
    <w:p>
      <w:pPr>
        <w:pStyle w:val="Heading2"/>
      </w:pPr>
      <w:r>
        <w:t xml:space="preserve">I. Executive Summary</w:t>
      </w:r>
    </w:p>
    <w:p>
      <w:pPr>
        <w:pStyle w:val="FirstParagraph"/>
      </w:pPr>
      <w:r>
        <w:t xml:space="preserve">This comprehensive Sales Report details the performance of our Nurse Support Solutions portfolio across healthcare facilities in China Beijing during Q3 2023. The report confirms that demand for specialized nurse-centric products has surged by 37% year-over-year, positioning our company as a market leader in supporting China's rapidly evolving nursing workforce. With Beijing's healthcare sector expanding at 15% annually, strategic investments in nurse empowerment tools have yielded exceptional returns. This Sales Report underscores how our tailored solutions directly address critical pain points faced by nurses operating within Beijing's complex medical ecosystem.</w:t>
      </w:r>
    </w:p>
    <w:bookmarkEnd w:id="20"/>
    <w:bookmarkStart w:id="21" w:name="X13c5d34bb231d50c83564c4876683cc804d3c46"/>
    <w:p>
      <w:pPr>
        <w:pStyle w:val="Heading2"/>
      </w:pPr>
      <w:r>
        <w:t xml:space="preserve">II. Market Context: The Nurse Imperative in China Beijing</w:t>
      </w:r>
    </w:p>
    <w:p>
      <w:pPr>
        <w:pStyle w:val="FirstParagraph"/>
      </w:pPr>
      <w:r>
        <w:t xml:space="preserve">China Beijing represents the epicenter of medical innovation in Northern China, housing 42% of the nation's tertiary care hospitals and over 180,000 licensed nurses. However, nurse-to-patient ratios remain critically strained at 1:7.5 (WHO recommendation: 1:3), creating intense pressure on clinical staff. This reality has catalyzed a national healthcare reform prioritizing nurse retention and efficiency—making the Nurse Support Solutions market in China Beijing a strategic growth frontier.</w:t>
      </w:r>
    </w:p>
    <w:p>
      <w:pPr>
        <w:pStyle w:val="BodyText"/>
      </w:pPr>
      <w:r>
        <w:t xml:space="preserve">Beijing's unique healthcare landscape features high-volume public hospitals, specialized tertiary centers, and emerging private medical chains—all requiring customized solutions. Our Sales Report confirms that 89% of surveyed nurses in Beijing hospitals cite workflow inefficiencies as their top operational challenge, directly correlating with our product suite's value proposition.</w:t>
      </w:r>
    </w:p>
    <w:bookmarkEnd w:id="21"/>
    <w:bookmarkStart w:id="22" w:name="X651d7e53ff188993097a57dbe7898dae7deebf5"/>
    <w:p>
      <w:pPr>
        <w:pStyle w:val="Heading2"/>
      </w:pPr>
      <w:r>
        <w:t xml:space="preserve">III. Q3 2023 Sales Performance Highlights</w:t>
      </w:r>
    </w:p>
    <w:p>
      <w:pPr>
        <w:pStyle w:val="FirstParagraph"/>
      </w:pPr>
      <w:r>
        <w:t xml:space="preserve">Sales Metric</w:t>
      </w:r>
    </w:p>
    <w:p>
      <w:pPr>
        <w:pStyle w:val="BodyText"/>
      </w:pPr>
      <w:r>
        <w:t xml:space="preserve">Q3 2023 Value</w:t>
      </w:r>
    </w:p>
    <w:p>
      <w:pPr>
        <w:pStyle w:val="BodyText"/>
      </w:pPr>
      <w:r>
        <w:t xml:space="preserve">% vs Q2 2023</w:t>
      </w:r>
    </w:p>
    <w:p>
      <w:pPr>
        <w:pStyle w:val="BodyText"/>
      </w:pPr>
      <w:r>
        <w:t xml:space="preserve">% vs Q3 2022</w:t>
      </w:r>
    </w:p>
    <w:p>
      <w:pPr>
        <w:pStyle w:val="BodyText"/>
      </w:pPr>
      <w:r>
        <w:t xml:space="preserve">Total Revenue (RMB)</w:t>
      </w:r>
    </w:p>
    <w:p>
      <w:pPr>
        <w:pStyle w:val="BodyText"/>
      </w:pPr>
      <w:r>
        <w:t xml:space="preserve">14.7 million</w:t>
      </w:r>
    </w:p>
    <w:p>
      <w:pPr>
        <w:pStyle w:val="BodyText"/>
      </w:pPr>
      <w:r>
        <w:t xml:space="preserve">+18.6%</w:t>
      </w:r>
    </w:p>
    <w:p>
      <w:pPr>
        <w:pStyle w:val="BodyText"/>
      </w:pPr>
      <w:r>
        <w:t xml:space="preserve">+37.2%</w:t>
      </w:r>
    </w:p>
    <w:p>
      <w:pPr>
        <w:pStyle w:val="BodyText"/>
      </w:pPr>
      <w:r>
        <w:t xml:space="preserve">Nurse Support Product Units Sold</w:t>
      </w:r>
    </w:p>
    <w:p>
      <w:pPr>
        <w:pStyle w:val="BodyText"/>
      </w:pPr>
      <w:r>
        <w:t xml:space="preserve">5,820</w:t>
      </w:r>
    </w:p>
    <w:p>
      <w:pPr>
        <w:pStyle w:val="BodyText"/>
      </w:pPr>
      <w:r>
        <w:t xml:space="preserve">+23.1%</w:t>
      </w:r>
    </w:p>
    <w:p>
      <w:pPr>
        <w:pStyle w:val="BodyText"/>
      </w:pPr>
      <w:r>
        <w:t xml:space="preserve">+41.8%</w:t>
      </w:r>
    </w:p>
    <w:p>
      <w:pPr>
        <w:pStyle w:val="BodyText"/>
      </w:pPr>
      <w:r>
        <w:t xml:space="preserve">New Hospital Contracts (Beijing)</w:t>
      </w:r>
    </w:p>
    <w:p>
      <w:pPr>
        <w:pStyle w:val="BodyText"/>
      </w:pPr>
      <w:r>
        <w:t xml:space="preserve">27</w:t>
      </w:r>
    </w:p>
    <w:p>
      <w:pPr>
        <w:pStyle w:val="BodyText"/>
      </w:pPr>
      <w:r>
        <w:t xml:space="preserve">+31.5%</w:t>
      </w:r>
    </w:p>
    <w:p>
      <w:pPr>
        <w:pStyle w:val="BodyText"/>
      </w:pPr>
      <w:r>
        <w:t xml:space="preserve">+</w:t>
      </w:r>
    </w:p>
    <w:p>
      <w:pPr>
        <w:pStyle w:val="BodyText"/>
      </w:pPr>
      <w:r>
        <w:br/>
      </w:r>
      <w:r>
        <w:t xml:space="preserve">(Prior Year: 0)</w:t>
      </w:r>
    </w:p>
    <w:p>
      <w:pPr>
        <w:pStyle w:val="BodyText"/>
      </w:pPr>
      <w:r>
        <w:t xml:space="preserve">Key growth drivers include:</w:t>
      </w:r>
    </w:p>
    <w:p>
      <w:pPr>
        <w:numPr>
          <w:ilvl w:val="0"/>
          <w:numId w:val="1001"/>
        </w:numPr>
        <w:pStyle w:val="Compact"/>
      </w:pPr>
      <w:r>
        <w:rPr>
          <w:bCs/>
          <w:b/>
        </w:rPr>
        <w:t xml:space="preserve">Nurse Engagement Platform</w:t>
      </w:r>
      <w:r>
        <w:t xml:space="preserve">: Adoption surged by 62% after integrating with Beijing's national electronic health record system (Beijing Health Cloud)</w:t>
      </w:r>
    </w:p>
    <w:p>
      <w:pPr>
        <w:numPr>
          <w:ilvl w:val="0"/>
          <w:numId w:val="1001"/>
        </w:numPr>
        <w:pStyle w:val="Compact"/>
      </w:pPr>
      <w:r>
        <w:rPr>
          <w:bCs/>
          <w:b/>
        </w:rPr>
        <w:t xml:space="preserve">Wearable Vital Monitor</w:t>
      </w:r>
      <w:r>
        <w:t xml:space="preserve">: Sold 1,950 units to Beijing Military Hospital and Peking Union Medical College Hospital, reducing nurse documentation time by 38%</w:t>
      </w:r>
    </w:p>
    <w:p>
      <w:pPr>
        <w:numPr>
          <w:ilvl w:val="0"/>
          <w:numId w:val="1001"/>
        </w:numPr>
        <w:pStyle w:val="Compact"/>
      </w:pPr>
      <w:r>
        <w:rPr>
          <w:bCs/>
          <w:b/>
        </w:rPr>
        <w:t xml:space="preserve">Mobile Clinical Assistant App</w:t>
      </w:r>
      <w:r>
        <w:t xml:space="preserve">: Onboarded 42% of Beijing's top 20 hospitals—directly responding to nurses' demand for real-time patient data access</w:t>
      </w:r>
    </w:p>
    <w:bookmarkEnd w:id="22"/>
    <w:bookmarkStart w:id="23" w:name="X422e607965f07da9ebb136e62d1202c29c70675"/>
    <w:p>
      <w:pPr>
        <w:pStyle w:val="Heading2"/>
      </w:pPr>
      <w:r>
        <w:t xml:space="preserve">IV. Nurse-Centric Success Stories in China Beijing</w:t>
      </w:r>
    </w:p>
    <w:p>
      <w:pPr>
        <w:pStyle w:val="FirstParagraph"/>
      </w:pPr>
      <w:r>
        <w:t xml:space="preserve">The true measure of our solutions' impact lies in frontline nurse experiences. At Beijing Ditan Hospital, a 150-bed infectious disease facility, implementation of our Nurse Support Solutions led to:</w:t>
      </w:r>
    </w:p>
    <w:p>
      <w:pPr>
        <w:pStyle w:val="BlockText"/>
      </w:pPr>
      <w:r>
        <w:t xml:space="preserve">"Before the deployment, nurses spent 2.7 hours daily on non-clinical tasks. With our mobile clinical assistant app integrated into Beijing's hospital network, that time reduced to 48 minutes—freeing us to focus on patient care during critical outbreaks."</w:t>
      </w:r>
      <w:r>
        <w:br/>
      </w:r>
      <w:r>
        <w:rPr>
          <w:bCs/>
          <w:b/>
        </w:rPr>
        <w:t xml:space="preserve">- Chen Wei, Head Nurse, Ditan Hospital</w:t>
      </w:r>
    </w:p>
    <w:p>
      <w:pPr>
        <w:pStyle w:val="FirstParagraph"/>
      </w:pPr>
      <w:r>
        <w:t xml:space="preserve">Similarly, in Shijingshan District's Community Health Centers (serving 300k residents), our nurse workflow optimization tools cut medication error rates by 29% and increased patient satisfaction scores by 22 points. This tangible evidence validates our Sales Report's core thesis: Nurse-centric solutions drive measurable healthcare outcomes.</w:t>
      </w:r>
    </w:p>
    <w:bookmarkEnd w:id="23"/>
    <w:bookmarkStart w:id="24" w:name="X7e49a78698aa507a0b0eef8b5c9dbfc9811a982"/>
    <w:p>
      <w:pPr>
        <w:pStyle w:val="Heading2"/>
      </w:pPr>
      <w:r>
        <w:t xml:space="preserve">V. Strategic Challenges &amp; Mitigation in China Beijing</w:t>
      </w:r>
    </w:p>
    <w:p>
      <w:pPr>
        <w:pStyle w:val="FirstParagraph"/>
      </w:pPr>
      <w:r>
        <w:t xml:space="preserve">Despite robust growth, we identified three key challenges requiring immediate action:</w:t>
      </w:r>
    </w:p>
    <w:p>
      <w:pPr>
        <w:numPr>
          <w:ilvl w:val="0"/>
          <w:numId w:val="1002"/>
        </w:numPr>
        <w:pStyle w:val="Compact"/>
      </w:pPr>
      <w:r>
        <w:rPr>
          <w:bCs/>
          <w:b/>
        </w:rPr>
        <w:t xml:space="preserve">Cultural Adaptation</w:t>
      </w:r>
      <w:r>
        <w:t xml:space="preserve">: Initial product interfaces were too complex for older nurses. Solution: Launched localized Mandarin voice-guided training modules co-developed with Beijing Nursing Association.</w:t>
      </w:r>
    </w:p>
    <w:p>
      <w:pPr>
        <w:numPr>
          <w:ilvl w:val="0"/>
          <w:numId w:val="1002"/>
        </w:numPr>
        <w:pStyle w:val="Compact"/>
      </w:pPr>
      <w:r>
        <w:rPr>
          <w:bCs/>
          <w:b/>
        </w:rPr>
        <w:t xml:space="preserve">Regulatory Compliance</w:t>
      </w:r>
      <w:r>
        <w:t xml:space="preserve">: China's 2023 Medical Device Registration Guidelines required software updates. Mitigation: Dedicated Beijing compliance team achieved 100% certification ahead of deadline.</w:t>
      </w:r>
    </w:p>
    <w:p>
      <w:pPr>
        <w:numPr>
          <w:ilvl w:val="0"/>
          <w:numId w:val="1002"/>
        </w:numPr>
        <w:pStyle w:val="Compact"/>
      </w:pPr>
      <w:r>
        <w:rPr>
          <w:bCs/>
          <w:b/>
        </w:rPr>
        <w:t xml:space="preserve">Competitive Pressure</w:t>
      </w:r>
      <w:r>
        <w:t xml:space="preserve">: Local brands offered lower prices but inferior tech. Countermeasure: Positioned our solutions as "Beijing's Premier Nurse Empowerment Ecosystem" through partnerships with key opinion leaders like Dr. Liang Min (President, Beijing Nurses Association).</w:t>
      </w:r>
    </w:p>
    <w:bookmarkEnd w:id="24"/>
    <w:bookmarkStart w:id="25" w:name="vi.-growth-strategy-for-q4-2023-beyond"/>
    <w:p>
      <w:pPr>
        <w:pStyle w:val="Heading2"/>
      </w:pPr>
      <w:r>
        <w:t xml:space="preserve">VI. Growth Strategy for Q4 2023 &amp; Beyond</w:t>
      </w:r>
    </w:p>
    <w:p>
      <w:pPr>
        <w:pStyle w:val="FirstParagraph"/>
      </w:pPr>
      <w:r>
        <w:t xml:space="preserve">This Sales Report recommends accelerating three initiatives to maintain momentum in China Beijing:</w:t>
      </w:r>
    </w:p>
    <w:p>
      <w:pPr>
        <w:numPr>
          <w:ilvl w:val="0"/>
          <w:numId w:val="1003"/>
        </w:numPr>
        <w:pStyle w:val="Compact"/>
      </w:pPr>
      <w:r>
        <w:rPr>
          <w:bCs/>
          <w:b/>
        </w:rPr>
        <w:t xml:space="preserve">Expand Nurse Advisory Council</w:t>
      </w:r>
      <w:r>
        <w:t xml:space="preserve">: Recruit 15 top nurses from Beijing's major hospitals to co-design future products—ensuring solutions reflect actual clinical needs.</w:t>
      </w:r>
    </w:p>
    <w:p>
      <w:pPr>
        <w:numPr>
          <w:ilvl w:val="0"/>
          <w:numId w:val="1003"/>
        </w:numPr>
        <w:pStyle w:val="Compact"/>
      </w:pPr>
      <w:r>
        <w:rPr>
          <w:bCs/>
          <w:b/>
        </w:rPr>
        <w:t xml:space="preserve">Launch "Nurse Champion" Program</w:t>
      </w:r>
      <w:r>
        <w:t xml:space="preserve">: Incentivize frontline nurses with exclusive product access and professional development credits, leveraging their influence across Beijing's healthcare network.</w:t>
      </w:r>
    </w:p>
    <w:p>
      <w:pPr>
        <w:numPr>
          <w:ilvl w:val="0"/>
          <w:numId w:val="1003"/>
        </w:numPr>
        <w:pStyle w:val="Compact"/>
      </w:pPr>
      <w:r>
        <w:rPr>
          <w:bCs/>
          <w:b/>
        </w:rPr>
        <w:t xml:space="preserve">Prioritize Government Tenders</w:t>
      </w:r>
      <w:r>
        <w:t xml:space="preserve">: Target Beijing Municipal Health Commission's 2024 Nurse Retention Fund (RMB 80M allocation), aligning solutions with national healthcare priorities.</w:t>
      </w:r>
    </w:p>
    <w:bookmarkEnd w:id="25"/>
    <w:bookmarkStart w:id="27" w:name="Xa0a88532ef805c649fd27997d05cabfe606e8df"/>
    <w:p>
      <w:pPr>
        <w:pStyle w:val="Heading2"/>
      </w:pPr>
      <w:r>
        <w:t xml:space="preserve">VII. Conclusion: The Future of Nursing in China Beijing</w:t>
      </w:r>
    </w:p>
    <w:p>
      <w:pPr>
        <w:pStyle w:val="FirstParagraph"/>
      </w:pPr>
      <w:r>
        <w:t xml:space="preserve">The data is unequivocal: Nurses in China Beijing are not merely customers—they are strategic partners in transforming healthcare delivery. Our Q3 performance proves that when solutions directly address nurse workflow challenges, they generate exceptional business results while improving patient care. As we move into 2024, this Sales Report asserts that continued investment in Nurse Support Solutions will cement our leadership position within Beijing's dynamic medical market.</w:t>
      </w:r>
    </w:p>
    <w:p>
      <w:pPr>
        <w:pStyle w:val="BodyText"/>
      </w:pPr>
      <w:r>
        <w:t xml:space="preserve">With Beijing's healthcare sector projected to grow at 18% annually through 2026 and nurse shortages expected to intensify, the opportunity for scalable nurse-centric innovation has never been greater. We recommend allocating 35% of regional R&amp;D budget toward new Nurse Support Solutions tailored specifically for China Beijing's unique clinical environment. The path forward is clear: empower nurses, transform outcomes, and dominate the market.</w:t>
      </w:r>
    </w:p>
    <w:bookmarkStart w:id="26" w:name="X0247c6b3df4767bf8f814fd94f65f3831b9e495"/>
    <w:p>
      <w:pPr>
        <w:pStyle w:val="Heading3"/>
      </w:pPr>
      <w:r>
        <w:t xml:space="preserve">Appendix: Key Metrics Driving Our Sales Report</w:t>
      </w:r>
    </w:p>
    <w:p>
      <w:pPr>
        <w:numPr>
          <w:ilvl w:val="0"/>
          <w:numId w:val="1004"/>
        </w:numPr>
        <w:pStyle w:val="Compact"/>
      </w:pPr>
      <w:r>
        <w:t xml:space="preserve">Nurse Satisfaction Rate (Post-Implementation): 92.4% (vs. Industry Avg: 68%)</w:t>
      </w:r>
    </w:p>
    <w:p>
      <w:pPr>
        <w:numPr>
          <w:ilvl w:val="0"/>
          <w:numId w:val="1004"/>
        </w:numPr>
        <w:pStyle w:val="Compact"/>
      </w:pPr>
      <w:r>
        <w:t xml:space="preserve">Customer Retention in Beijing Hospitals: 96% (12+ month contract renewal)</w:t>
      </w:r>
    </w:p>
    <w:p>
      <w:pPr>
        <w:numPr>
          <w:ilvl w:val="0"/>
          <w:numId w:val="1004"/>
        </w:numPr>
        <w:pStyle w:val="Compact"/>
      </w:pPr>
      <w:r>
        <w:t xml:space="preserve">Market Share Growth in Beijing Nurse Solutions Segment: +17.8 points YOY</w:t>
      </w:r>
    </w:p>
    <w:p>
      <w:pPr>
        <w:pStyle w:val="FirstParagraph"/>
      </w:pPr>
      <w:r>
        <w:rPr>
          <w:bCs/>
          <w:b/>
        </w:rPr>
        <w:t xml:space="preserve">This Sales Report demonstrates that success in China Beijing is inseparable from empowering the Nurse community—our most critical asset.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Nurse Support Solutions in China Beijing</dc:title>
  <dc:creator/>
  <dc:language>en</dc:language>
  <cp:keywords/>
  <dcterms:created xsi:type="dcterms:W3CDTF">2026-07-21T07:24:31Z</dcterms:created>
  <dcterms:modified xsi:type="dcterms:W3CDTF">2026-07-21T07:24:31Z</dcterms:modified>
</cp:coreProperties>
</file>

<file path=docProps/custom.xml><?xml version="1.0" encoding="utf-8"?>
<Properties xmlns="http://schemas.openxmlformats.org/officeDocument/2006/custom-properties" xmlns:vt="http://schemas.openxmlformats.org/officeDocument/2006/docPropsVTypes"/>
</file>