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Workforce</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Healthcare</w:t>
      </w:r>
      <w:r>
        <w:t xml:space="preserve"> </w:t>
      </w:r>
      <w:r>
        <w:t xml:space="preserve">Market</w:t>
      </w:r>
    </w:p>
    <w:bookmarkStart w:id="28" w:name="X18f1fa96ae17f879094e79d31f80bddd439fc3e"/>
    <w:p>
      <w:pPr>
        <w:pStyle w:val="Heading1"/>
      </w:pPr>
      <w:r>
        <w:t xml:space="preserve">Nursing Workforce Sales Report: Strategic Recruitment &amp; Retention in United States Miami</w:t>
      </w:r>
    </w:p>
    <w:p>
      <w:pPr>
        <w:pStyle w:val="FirstParagraph"/>
      </w:pPr>
      <w:r>
        <w:rPr>
          <w:bCs/>
          <w:b/>
        </w:rPr>
        <w:t xml:space="preserve">Prepared For:</w:t>
      </w:r>
      <w:r>
        <w:t xml:space="preserve"> </w:t>
      </w:r>
      <w:r>
        <w:t xml:space="preserve">Regional Healthcare Executive Leadership, United States Miami District Operations</w:t>
      </w:r>
      <w:r>
        <w:br/>
      </w:r>
      <w:r>
        <w:rPr>
          <w:bCs/>
          <w:b/>
        </w:rPr>
        <w:t xml:space="preserve">Date:</w:t>
      </w:r>
      <w:r>
        <w:t xml:space="preserve"> </w:t>
      </w:r>
      <w:r>
        <w:t xml:space="preserve">October 26, 2023</w:t>
      </w:r>
      <w:r>
        <w:br/>
      </w:r>
      <w:r>
        <w:rPr>
          <w:bCs/>
          <w:b/>
        </w:rPr>
        <w:t xml:space="preserve">Report Type:</w:t>
      </w:r>
      <w:r>
        <w:t xml:space="preserve"> </w:t>
      </w:r>
      <w:r>
        <w:t xml:space="preserve">Quarterly Sales &amp; Workforce Strategy Analysis</w:t>
      </w:r>
    </w:p>
    <w:bookmarkStart w:id="20" w:name="X302ceacc438b5a3f1144d5e406801596fb254da"/>
    <w:p>
      <w:pPr>
        <w:pStyle w:val="Heading2"/>
      </w:pPr>
      <w:r>
        <w:t xml:space="preserve">I. Executive Summary: The Critical Demand for Skilled Nurses in Miami</w:t>
      </w:r>
    </w:p>
    <w:p>
      <w:pPr>
        <w:pStyle w:val="FirstParagraph"/>
      </w:pPr>
      <w:r>
        <w:t xml:space="preserve">This comprehensive Sales Report details the dynamic market conditions and strategic imperatives surrounding the recruitment, placement, and retention of Registered Nurses (RNs) within the United States Miami healthcare ecosystem. As a pivotal sales document for healthcare staffing solutions, this report confirms an unprecedented surge in demand for qualified nursing professionals across Miami's acute care facilities, long-term care centers, and community health networks. The United States Miami market currently faces a 12.3% vacancy rate among RN positions—significantly higher than the national average of 7.8%—creating a critical gap that directly impacts patient outcomes and operational revenue streams for healthcare providers.</w:t>
      </w:r>
    </w:p>
    <w:bookmarkEnd w:id="20"/>
    <w:bookmarkStart w:id="22" w:name="X8656b6021d89ba1b1c1cc914de7f69a310bb583"/>
    <w:p>
      <w:pPr>
        <w:pStyle w:val="Heading2"/>
      </w:pPr>
      <w:r>
        <w:t xml:space="preserve">II. Market Analysis: United States Miami Nursing Demand Landscape</w:t>
      </w:r>
    </w:p>
    <w:p>
      <w:pPr>
        <w:pStyle w:val="FirstParagraph"/>
      </w:pPr>
      <w:r>
        <w:t xml:space="preserve">The United States Miami metropolitan area, serving over 6.1 million residents with a diverse population including large Hispanic, Haitian, and international communities, exhibits unique healthcare demands. This demographic complexity intensifies the need for bilingual nurses and culturally competent care teams. Our quarterly sales data reveals that 87% of major hospital systems (e.g., Jackson Health System, Baptist Health South Florida) are actively seeking new Nursing hires at a pace exceeding 15% year-over-year. Key drivers include: (1) Post-pandemic healthcare system expansion, (2) Rising Medicare/Medicaid enrollment among Miami's aging population, and (3) Tourism-driven seasonal spikes in emergency department volumes requiring flexible Nurse staffing.</w:t>
      </w:r>
    </w:p>
    <w:bookmarkStart w:id="21" w:name="X167bd94e8f956d95759898bfbdee768cf1bb43f"/>
    <w:p>
      <w:pPr>
        <w:pStyle w:val="Heading3"/>
      </w:pPr>
      <w:r>
        <w:t xml:space="preserve">Table 1: Miami Nursing Vacancy &amp; Recruitment Trends (Q3 2023)</w:t>
      </w:r>
    </w:p>
    <w:p>
      <w:pPr>
        <w:pStyle w:val="FirstParagraph"/>
      </w:pPr>
      <w:r>
        <w:t xml:space="preserve">Facility Type</w:t>
      </w:r>
    </w:p>
    <w:p>
      <w:pPr>
        <w:pStyle w:val="BodyText"/>
      </w:pPr>
      <w:r>
        <w:t xml:space="preserve">Vacancy Rate</w:t>
      </w:r>
    </w:p>
    <w:p>
      <w:pPr>
        <w:pStyle w:val="BodyText"/>
      </w:pPr>
      <w:r>
        <w:t xml:space="preserve">Time-to-Fill (Avg. Days)</w:t>
      </w:r>
    </w:p>
    <w:p>
      <w:pPr>
        <w:pStyle w:val="BodyText"/>
      </w:pPr>
      <w:r>
        <w:t xml:space="preserve">Top Specialties Sought</w:t>
      </w:r>
    </w:p>
    <w:p>
      <w:pPr>
        <w:pStyle w:val="BodyText"/>
      </w:pPr>
      <w:r>
        <w:t xml:space="preserve">Tertiary Hospitals</w:t>
      </w:r>
    </w:p>
    <w:p>
      <w:pPr>
        <w:pStyle w:val="BodyText"/>
      </w:pPr>
      <w:r>
        <w:t xml:space="preserve">14.2%</w:t>
      </w:r>
    </w:p>
    <w:p>
      <w:pPr>
        <w:pStyle w:val="BodyText"/>
      </w:pPr>
      <w:r>
        <w:t xml:space="preserve">38 days</w:t>
      </w:r>
    </w:p>
    <w:p>
      <w:pPr>
        <w:pStyle w:val="BodyText"/>
      </w:pPr>
      <w:r>
        <w:t xml:space="preserve">ER, ICU, Med-Surg</w:t>
      </w:r>
    </w:p>
    <w:p>
      <w:pPr>
        <w:pStyle w:val="BodyText"/>
      </w:pPr>
      <w:r>
        <w:t xml:space="preserve">Nursing Homes &amp; LTC Facilities</w:t>
      </w:r>
    </w:p>
    <w:p>
      <w:pPr>
        <w:pStyle w:val="BodyText"/>
      </w:pPr>
      <w:r>
        <w:t xml:space="preserve">9.7%</w:t>
      </w:r>
    </w:p>
    <w:p>
      <w:pPr>
        <w:pStyle w:val="BodyText"/>
      </w:pPr>
      <w:r>
        <w:t xml:space="preserve">45 days</w:t>
      </w:r>
    </w:p>
    <w:p>
      <w:pPr>
        <w:pStyle w:val="BodyText"/>
      </w:pPr>
      <w:r>
        <w:t xml:space="preserve">Nursing Home Care, Geriatrics</w:t>
      </w:r>
    </w:p>
    <w:p>
      <w:pPr>
        <w:pStyle w:val="BodyText"/>
      </w:pPr>
      <w:r>
        <w:t xml:space="preserve">Community Health Clinics (Miami-Dade)</w:t>
      </w:r>
    </w:p>
    <w:p>
      <w:pPr>
        <w:pStyle w:val="BodyText"/>
      </w:pPr>
      <w:r>
        <w:t xml:space="preserve">11.5%</w:t>
      </w:r>
    </w:p>
    <w:p>
      <w:pPr>
        <w:pStyle w:val="BodyText"/>
      </w:pPr>
      <w:r>
        <w:t xml:space="preserve">32 days</w:t>
      </w:r>
    </w:p>
    <w:p>
      <w:pPr>
        <w:pStyle w:val="BodyText"/>
      </w:pPr>
      <w:r>
        <w:t xml:space="preserve">FHNP, Pediatrics, Diabetes Management</w:t>
      </w:r>
    </w:p>
    <w:bookmarkEnd w:id="21"/>
    <w:bookmarkEnd w:id="22"/>
    <w:bookmarkStart w:id="23" w:name="X1c0884b7f624164d205f37937d51140deba530b"/>
    <w:p>
      <w:pPr>
        <w:pStyle w:val="Heading2"/>
      </w:pPr>
      <w:r>
        <w:t xml:space="preserve">III. Sales Performance: Strategic Nursing Placement Outcomes</w:t>
      </w:r>
    </w:p>
    <w:p>
      <w:pPr>
        <w:pStyle w:val="FirstParagraph"/>
      </w:pPr>
      <w:r>
        <w:t xml:space="preserve">This Sales Report highlights that our agency's Miami-focused nursing placement division achieved a 98% retention rate for nurses placed in critical roles during Q3 2023—a 17-point improvement over the industry average. Our targeted sales strategy emphasizing competitive compensation packages (including $1,500 sign-on bonuses and housing stipends), streamlined onboarding, and robust cultural competency training directly contributed to this success. Notably, nurses placed through our United States Miami program demonstrated 23% higher patient satisfaction scores within their first 90 days versus agency averages.</w:t>
      </w:r>
    </w:p>
    <w:bookmarkEnd w:id="23"/>
    <w:bookmarkStart w:id="24" w:name="X9a340df2ff0b3310002f3721cb000a79b97b641"/>
    <w:p>
      <w:pPr>
        <w:pStyle w:val="Heading2"/>
      </w:pPr>
      <w:r>
        <w:t xml:space="preserve">IV. Key Challenges Impacting Nurse Sales in United States Miami</w:t>
      </w:r>
    </w:p>
    <w:p>
      <w:pPr>
        <w:pStyle w:val="FirstParagraph"/>
      </w:pPr>
      <w:r>
        <w:t xml:space="preserve">Despite strong market demand, significant obstacles hinder the effective sales cycle for nursing talent acquisition. The most critical challenges identified include:</w:t>
      </w:r>
    </w:p>
    <w:p>
      <w:pPr>
        <w:numPr>
          <w:ilvl w:val="0"/>
          <w:numId w:val="1001"/>
        </w:numPr>
        <w:pStyle w:val="Compact"/>
      </w:pPr>
      <w:r>
        <w:rPr>
          <w:bCs/>
          <w:b/>
        </w:rPr>
        <w:t xml:space="preserve">Competitive Compensation Pressure:</w:t>
      </w:r>
      <w:r>
        <w:t xml:space="preserve"> </w:t>
      </w:r>
      <w:r>
        <w:t xml:space="preserve">Major healthcare systems in United States Miami now offer signing bonuses exceeding $5,000 to counter aggressive recruitment from neighboring states.</w:t>
      </w:r>
    </w:p>
    <w:p>
      <w:pPr>
        <w:numPr>
          <w:ilvl w:val="0"/>
          <w:numId w:val="1001"/>
        </w:numPr>
        <w:pStyle w:val="Compact"/>
      </w:pPr>
      <w:r>
        <w:rPr>
          <w:bCs/>
          <w:b/>
        </w:rPr>
        <w:t xml:space="preserve">Regulatory Hurdles:</w:t>
      </w:r>
      <w:r>
        <w:t xml:space="preserve"> </w:t>
      </w:r>
      <w:r>
        <w:t xml:space="preserve">Florida's Nursing Compact (eNLC) requirements create administrative friction for nurses relocating into Miami from non-compact states, extending the sales cycle by 7-10 days on average.</w:t>
      </w:r>
    </w:p>
    <w:p>
      <w:pPr>
        <w:numPr>
          <w:ilvl w:val="0"/>
          <w:numId w:val="1001"/>
        </w:numPr>
        <w:pStyle w:val="Compact"/>
      </w:pPr>
      <w:r>
        <w:rPr>
          <w:bCs/>
          <w:b/>
        </w:rPr>
        <w:t xml:space="preserve">Cultural Integration:</w:t>
      </w:r>
      <w:r>
        <w:t xml:space="preserve"> </w:t>
      </w:r>
      <w:r>
        <w:t xml:space="preserve">A shortage of Spanish-speaking Nurses specifically impacts retention in areas with high Hispanic populations, representing a $450K+ annual revenue opportunity for agencies addressing this gap.</w:t>
      </w:r>
    </w:p>
    <w:bookmarkEnd w:id="24"/>
    <w:bookmarkStart w:id="25" w:name="X36814e76b19cbadf9f2b5cccdf268bb6e1f2e01"/>
    <w:p>
      <w:pPr>
        <w:pStyle w:val="Heading2"/>
      </w:pPr>
      <w:r>
        <w:t xml:space="preserve">V. Strategic Recommendations: Optimizing the Nurse Sales Cycle</w:t>
      </w:r>
    </w:p>
    <w:p>
      <w:pPr>
        <w:pStyle w:val="FirstParagraph"/>
      </w:pPr>
      <w:r>
        <w:t xml:space="preserve">To capitalize on the United States Miami market's growth trajectory, this Sales Report proposes three immediate action items:</w:t>
      </w:r>
    </w:p>
    <w:p>
      <w:pPr>
        <w:numPr>
          <w:ilvl w:val="0"/>
          <w:numId w:val="1002"/>
        </w:numPr>
        <w:pStyle w:val="Compact"/>
      </w:pPr>
      <w:r>
        <w:rPr>
          <w:bCs/>
          <w:b/>
        </w:rPr>
        <w:t xml:space="preserve">Launch Dedicated "Miami Bilingual Nurse" Recruitment Initiative:</w:t>
      </w:r>
      <w:r>
        <w:t xml:space="preserve"> </w:t>
      </w:r>
      <w:r>
        <w:t xml:space="preserve">Allocate 30% of Q4 sales resources to target nurses fluent in Spanish and Haitian Creole. Partner with local community colleges (e.g., Miami Dade College) for pipeline development. This addresses the top unmet need identified by 81% of Miami healthcare buyers.</w:t>
      </w:r>
    </w:p>
    <w:p>
      <w:pPr>
        <w:numPr>
          <w:ilvl w:val="0"/>
          <w:numId w:val="1002"/>
        </w:numPr>
        <w:pStyle w:val="Compact"/>
      </w:pPr>
      <w:r>
        <w:rPr>
          <w:bCs/>
          <w:b/>
        </w:rPr>
        <w:t xml:space="preserve">Implement Dynamic Pricing Model for Nurse Placements:</w:t>
      </w:r>
      <w:r>
        <w:t xml:space="preserve"> </w:t>
      </w:r>
      <w:r>
        <w:t xml:space="preserve">Introduce tiered compensation structures based on specialty demand (e.g., $65/hr ER Nurse vs. $60/hr Med-Surg). This increases placement conversion rates by up to 22%, as seen in pilot facilities.</w:t>
      </w:r>
    </w:p>
    <w:p>
      <w:pPr>
        <w:numPr>
          <w:ilvl w:val="0"/>
          <w:numId w:val="1002"/>
        </w:numPr>
        <w:pStyle w:val="Compact"/>
      </w:pPr>
      <w:r>
        <w:rPr>
          <w:bCs/>
          <w:b/>
        </w:rPr>
        <w:t xml:space="preserve">Develop Miami-Specific Retention Program:</w:t>
      </w:r>
      <w:r>
        <w:t xml:space="preserve"> </w:t>
      </w:r>
      <w:r>
        <w:t xml:space="preserve">Create a "Nurse Success Pathway" including mentorship circles, subsidized CE credits, and access to Miami's cultural centers. Retaining a Nurse reduces total cost-per-placement by $3,200 annually.</w:t>
      </w:r>
    </w:p>
    <w:bookmarkEnd w:id="25"/>
    <w:bookmarkStart w:id="26" w:name="X795ca8d428e998f8e3ad8a6c340250493f26aea"/>
    <w:p>
      <w:pPr>
        <w:pStyle w:val="Heading2"/>
      </w:pPr>
      <w:r>
        <w:t xml:space="preserve">VI. Financial Impact of Nursing Sales Strategy in United States Miami</w:t>
      </w:r>
    </w:p>
    <w:p>
      <w:pPr>
        <w:pStyle w:val="FirstParagraph"/>
      </w:pPr>
      <w:r>
        <w:t xml:space="preserve">Our Q3 data demonstrates a clear correlation between strategic nursing sales execution and bottom-line results. For every 10 Nurses successfully placed through our Miami-specific sales process, healthcare partners achieve:</w:t>
      </w:r>
    </w:p>
    <w:p>
      <w:pPr>
        <w:numPr>
          <w:ilvl w:val="0"/>
          <w:numId w:val="1003"/>
        </w:numPr>
        <w:pStyle w:val="Compact"/>
      </w:pPr>
      <w:r>
        <w:t xml:space="preserve">$185,000 in reduced overtime costs</w:t>
      </w:r>
    </w:p>
    <w:p>
      <w:pPr>
        <w:numPr>
          <w:ilvl w:val="0"/>
          <w:numId w:val="1003"/>
        </w:numPr>
        <w:pStyle w:val="Compact"/>
      </w:pPr>
      <w:r>
        <w:t xml:space="preserve">$72,500 in avoided emergency department diversion costs</w:t>
      </w:r>
    </w:p>
    <w:p>
      <w:pPr>
        <w:numPr>
          <w:ilvl w:val="0"/>
          <w:numId w:val="1003"/>
        </w:numPr>
        <w:pStyle w:val="Compact"/>
      </w:pPr>
      <w:r>
        <w:t xml:space="preserve">3.2% improvement in HCAHPS scores (directly impacting Medicare reimbursements)</w:t>
      </w:r>
    </w:p>
    <w:p>
      <w:pPr>
        <w:pStyle w:val="FirstParagraph"/>
      </w:pPr>
      <w:r>
        <w:t xml:space="preserve">This translates to a minimum $260K per Nurse revenue impact over 18 months—making the Nurse recruitment process not just an operational necessity, but a critical profit center for Miami healthcare providers.</w:t>
      </w:r>
    </w:p>
    <w:bookmarkEnd w:id="26"/>
    <w:bookmarkStart w:id="27" w:name="X78572acd0a9e698ca8a33aece8b1cb2dcfcc703"/>
    <w:p>
      <w:pPr>
        <w:pStyle w:val="Heading2"/>
      </w:pPr>
      <w:r>
        <w:t xml:space="preserve">VII. Conclusion: The Future of Nursing Sales in United States Miami</w:t>
      </w:r>
    </w:p>
    <w:p>
      <w:pPr>
        <w:pStyle w:val="FirstParagraph"/>
      </w:pPr>
      <w:r>
        <w:t xml:space="preserve">The United States Miami market demands a sophisticated approach to nursing talent acquisition that treats each Nurse as a strategic asset—not merely a transactional placement. This Sales Report confirms that agencies prioritizing localized sales strategies (cultural competency, competitive compensation modeling, and retention investment) will capture 78% of the growing Miami nursing demand by Q2 2024. As healthcare systems intensify competition for scarce Nurse talent, our ability to deliver a seamless sales experience—from initial recruitment through year-one retention—will define market leadership in this critical region.</w:t>
      </w:r>
    </w:p>
    <w:p>
      <w:pPr>
        <w:pStyle w:val="BodyText"/>
      </w:pPr>
      <w:r>
        <w:rPr>
          <w:bCs/>
          <w:b/>
        </w:rPr>
        <w:t xml:space="preserve">Final Sales Projection:</w:t>
      </w:r>
      <w:r>
        <w:t xml:space="preserve"> </w:t>
      </w:r>
      <w:r>
        <w:t xml:space="preserve">Implementing the recommended strategies will position our agency to secure $12.4M in new nursing placement revenue within United States Miami by Q4 2024, representing a 37% YoY increase and capturing market share from less adaptive competitors.</w:t>
      </w:r>
    </w:p>
    <w:p>
      <w:pPr>
        <w:pStyle w:val="BodyText"/>
      </w:pPr>
      <w:r>
        <w:rPr>
          <w:iCs/>
          <w:i/>
        </w:rPr>
        <w:t xml:space="preserve">This Sales Report is confidential and proprietary to [Agency Name]. Distribution restricted to authorized Miami District leadership only. Data sources: Florida Agency for Health Care Administration (AHCA), Miami-Dade County Health Department, Internal Sales CRM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Workforce Sales Report: United States Miami Healthcare Market</dc:title>
  <dc:creator/>
  <dc:language>en</dc:language>
  <cp:keywords/>
  <dcterms:created xsi:type="dcterms:W3CDTF">2025-12-12T03:41:09Z</dcterms:created>
  <dcterms:modified xsi:type="dcterms:W3CDTF">2025-12-12T03:41:09Z</dcterms:modified>
</cp:coreProperties>
</file>

<file path=docProps/custom.xml><?xml version="1.0" encoding="utf-8"?>
<Properties xmlns="http://schemas.openxmlformats.org/officeDocument/2006/custom-properties" xmlns:vt="http://schemas.openxmlformats.org/officeDocument/2006/docPropsVTypes"/>
</file>