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r>
        <w:t xml:space="preserve"> </w:t>
      </w:r>
      <w:r>
        <w:t xml:space="preserve">Analysis</w:t>
      </w:r>
    </w:p>
    <w:bookmarkStart w:id="27" w:name="X1d2b6a2e09fbed3ffa40851fa8eb791d17ee787"/>
    <w:p>
      <w:pPr>
        <w:pStyle w:val="Heading1"/>
      </w:pPr>
      <w:r>
        <w:t xml:space="preserve">Sales Report: Strategic Healthcare Workforce Development &amp; Product Sales in United States New York City Nursing Sector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Administration Leadership, United States New York City</w:t>
      </w:r>
      <w:r>
        <w:br/>
      </w:r>
      <w:r>
        <w:rPr>
          <w:bCs/>
          <w:b/>
        </w:rPr>
        <w:t xml:space="preserve">Prepared By:</w:t>
      </w:r>
      <w:r>
        <w:t xml:space="preserve"> </w:t>
      </w:r>
      <w:r>
        <w:t xml:space="preserve">Metropolitan Health Solutions Strategic Analysis Division</w:t>
      </w:r>
    </w:p>
    <w:bookmarkStart w:id="20" w:name="X64be4f3f4d690fc0e67504ffc90562ac0a7cec4"/>
    <w:p>
      <w:pPr>
        <w:pStyle w:val="Heading2"/>
      </w:pPr>
      <w:r>
        <w:t xml:space="preserve">I. Executive Summary: Clarifying the Critical Distinction</w:t>
      </w:r>
    </w:p>
    <w:p>
      <w:pPr>
        <w:pStyle w:val="FirstParagraph"/>
      </w:pPr>
      <w:r>
        <w:t xml:space="preserve">This Sales Report addresses a fundamental misunderstanding within the healthcare market context of the United States New York City (NYC) landscape. It is imperative to clarify that</w:t>
      </w:r>
      <w:r>
        <w:t xml:space="preserve"> </w:t>
      </w:r>
      <w:r>
        <w:rPr>
          <w:iCs/>
          <w:i/>
        </w:rPr>
        <w:t xml:space="preserve">nurses are not products to be sold</w:t>
      </w:r>
      <w:r>
        <w:t xml:space="preserve">. Instead, this report focuses on the strategic sales of</w:t>
      </w:r>
      <w:r>
        <w:t xml:space="preserve"> </w:t>
      </w:r>
      <w:r>
        <w:rPr>
          <w:bCs/>
          <w:b/>
        </w:rPr>
        <w:t xml:space="preserve">essential nursing support services, medical equipment, and workforce development solutions</w:t>
      </w:r>
      <w:r>
        <w:t xml:space="preserve"> </w:t>
      </w:r>
      <w:r>
        <w:t xml:space="preserve">within NYC's critical healthcare ecosystem. The demand for skilled nurses in New York City has reached a crisis point, creating unprecedented opportunities for sales of complementary healthcare products and services that support nurse retention and effectiveness. This report details current market dynamics, sales performance metrics (for relevant clinical support solutions), and strategic recommendations to address the $12.7 billion annual nursing workforce gap impacting United States healthcare facilities, particularly in dense urban centers like New York City.</w:t>
      </w:r>
    </w:p>
    <w:bookmarkEnd w:id="20"/>
    <w:bookmarkStart w:id="21" w:name="Xbf542080b977b0355e3ea114561b311188ff87e"/>
    <w:p>
      <w:pPr>
        <w:pStyle w:val="Heading2"/>
      </w:pPr>
      <w:r>
        <w:t xml:space="preserve">II. The Urgent Context: Nurse Shortage Crisis in United States New York City</w:t>
      </w:r>
    </w:p>
    <w:p>
      <w:pPr>
        <w:pStyle w:val="FirstParagraph"/>
      </w:pPr>
      <w:r>
        <w:t xml:space="preserve">New York City remains the epicenter of the national nursing shortage. With over 150 acute care hospitals, 30+ major health systems, and a population exceeding 8 million residents demanding complex care, NYC faces a critical deficit of approximately 40,000 registered nurses (RNs) as reported by the New York State Department of Health (NYSDOH). This shortage is not merely a staffing issue; it directly impacts patient outcomes, hospital profitability through increased readmissions and penalties under value-based care models, and the very survival of community health centers across boroughs like Brooklyn, Queens, and The Bronx. In this high-stakes environment, sales of solutions that alleviate nurse burnout and improve workflow efficiency are experiencing exponential growth.</w:t>
      </w:r>
    </w:p>
    <w:bookmarkEnd w:id="21"/>
    <w:bookmarkStart w:id="22" w:name="Xfd2736acd975551e91443df78d9bdcb72a43c24"/>
    <w:p>
      <w:pPr>
        <w:pStyle w:val="Heading2"/>
      </w:pPr>
      <w:r>
        <w:t xml:space="preserve">III. Sales Performance Analysis: Targeted Solutions for NYC Nursing Challenges</w:t>
      </w:r>
    </w:p>
    <w:p>
      <w:pPr>
        <w:pStyle w:val="FirstParagraph"/>
      </w:pPr>
      <w:r>
        <w:t xml:space="preserve">This report tracks sales data for products/services directly supporting the nursing workforce in New York City. Key performance indicators (KPIs) include units sold, average contract value (ACV), and client retention rates among major NYC healthcare providers.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Sales Category</w:t>
            </w:r>
          </w:p>
        </w:tc>
        <w:tc>
          <w:tcPr/>
          <w:p>
            <w:pPr>
              <w:pStyle w:val="Compact"/>
              <w:jc w:val="left"/>
            </w:pPr>
            <w:r>
              <w:t xml:space="preserve">Q3 2023 Units Sold (NYC)</w:t>
            </w:r>
          </w:p>
        </w:tc>
        <w:tc>
          <w:tcPr/>
          <w:p>
            <w:pPr>
              <w:pStyle w:val="Compact"/>
              <w:jc w:val="left"/>
            </w:pPr>
            <w:r>
              <w:t xml:space="preserve">YoY Growth</w:t>
            </w:r>
          </w:p>
        </w:tc>
        <w:tc>
          <w:tcPr/>
          <w:p>
            <w:pPr>
              <w:pStyle w:val="Compact"/>
              <w:jc w:val="left"/>
            </w:pPr>
            <w:r>
              <w:t xml:space="preserve">Average Contract Value (ACV)</w:t>
            </w:r>
          </w:p>
        </w:tc>
        <w:tc>
          <w:tcPr/>
          <w:p>
            <w:pPr>
              <w:pStyle w:val="Compact"/>
              <w:jc w:val="left"/>
            </w:pPr>
            <w:r>
              <w:t xml:space="preserve">Top Client Segment</w:t>
            </w:r>
          </w:p>
        </w:tc>
      </w:tr>
      <w:tr>
        <w:tc>
          <w:tcPr/>
          <w:p>
            <w:pPr>
              <w:pStyle w:val="Compact"/>
              <w:jc w:val="left"/>
            </w:pPr>
            <w:r>
              <w:t xml:space="preserve">Nurse Retention Software Platforms</w:t>
            </w:r>
          </w:p>
        </w:tc>
        <w:tc>
          <w:tcPr/>
          <w:p>
            <w:pPr>
              <w:pStyle w:val="Compact"/>
              <w:jc w:val="left"/>
            </w:pPr>
            <w:r>
              <w:t xml:space="preserve">142</w:t>
            </w:r>
          </w:p>
        </w:tc>
        <w:tc>
          <w:tcPr/>
          <w:p>
            <w:pPr>
              <w:pStyle w:val="Compact"/>
              <w:jc w:val="left"/>
            </w:pPr>
            <w:r>
              <w:t xml:space="preserve">+38%</w:t>
            </w:r>
          </w:p>
        </w:tc>
        <w:tc>
          <w:tcPr/>
          <w:p>
            <w:pPr>
              <w:pStyle w:val="Compact"/>
              <w:jc w:val="left"/>
            </w:pPr>
            <w:r>
              <w:t xml:space="preserve">$145,000</w:t>
            </w:r>
          </w:p>
        </w:tc>
        <w:tc>
          <w:tcPr/>
          <w:p>
            <w:pPr>
              <w:pStyle w:val="Compact"/>
              <w:jc w:val="left"/>
            </w:pPr>
            <w:r>
              <w:t xml:space="preserve">Large Health Systems (e.g., NYU Langone, Mount Sinai)</w:t>
            </w:r>
          </w:p>
        </w:tc>
      </w:tr>
      <w:tr>
        <w:tc>
          <w:tcPr/>
          <w:p>
            <w:pPr>
              <w:pStyle w:val="Compact"/>
              <w:jc w:val="left"/>
            </w:pPr>
            <w:r>
              <w:t xml:space="preserve">Wearable Patient Monitoring Devices</w:t>
            </w:r>
          </w:p>
        </w:tc>
        <w:tc>
          <w:tcPr/>
          <w:p>
            <w:pPr>
              <w:pStyle w:val="Compact"/>
              <w:jc w:val="left"/>
            </w:pPr>
            <w:r>
              <w:t xml:space="preserve">28,500+</w:t>
            </w:r>
          </w:p>
        </w:tc>
        <w:tc>
          <w:tcPr/>
          <w:p>
            <w:pPr>
              <w:pStyle w:val="Compact"/>
              <w:jc w:val="left"/>
            </w:pPr>
            <w:r>
              <w:t xml:space="preserve">+52%</w:t>
            </w:r>
          </w:p>
        </w:tc>
        <w:tc>
          <w:tcPr/>
          <w:p>
            <w:pPr>
              <w:pStyle w:val="Compact"/>
              <w:jc w:val="left"/>
            </w:pPr>
            <w:r>
              <w:t xml:space="preserve">$75/unit</w:t>
            </w:r>
          </w:p>
        </w:tc>
        <w:tc>
          <w:tcPr/>
          <w:p>
            <w:pPr>
              <w:pStyle w:val="Compact"/>
              <w:jc w:val="left"/>
            </w:pPr>
            <w:r>
              <w:t xml:space="preserve">Hospitals &amp; Home Health Agencies</w:t>
            </w:r>
          </w:p>
        </w:tc>
      </w:tr>
    </w:tbl>
    <w:p>
      <w:pPr>
        <w:pStyle w:val="BodyText"/>
      </w:pPr>
      <w:r>
        <w:rPr>
          <w:bCs/>
          <w:b/>
        </w:rPr>
        <w:t xml:space="preserve">Key Insight:</w:t>
      </w:r>
      <w:r>
        <w:t xml:space="preserve"> </w:t>
      </w:r>
      <w:r>
        <w:t xml:space="preserve">The most significant sales surge is in technologies that reduce cognitive load and documentation burden – a primary driver of nurse turnover. Sales of AI-powered clinical documentation tools have increased by 67% YoY in NYC, directly correlating with client testimonials citing "reduced overtime by 22%" at hospitals like Bellevue and Jamaica Hospital. This addresses the core challenge:</w:t>
      </w:r>
      <w:r>
        <w:t xml:space="preserve"> </w:t>
      </w:r>
      <w:r>
        <w:rPr>
          <w:iCs/>
          <w:i/>
        </w:rPr>
        <w:t xml:space="preserve">retaining existing nurses is more cost-effective than recruiting new ones</w:t>
      </w:r>
      <w:r>
        <w:t xml:space="preserve">, a critical sales proposition for NYC healthcare administrators navigating budget constraints.</w:t>
      </w:r>
    </w:p>
    <w:bookmarkEnd w:id="22"/>
    <w:bookmarkStart w:id="23" w:name="Xd1e0acc91ab8b0afee7e1fbd1751e3069b9cb19"/>
    <w:p>
      <w:pPr>
        <w:pStyle w:val="Heading2"/>
      </w:pPr>
      <w:r>
        <w:t xml:space="preserve">IV. Market-Specific Dynamics: Why New York City Drives National Sales Trends</w:t>
      </w:r>
    </w:p>
    <w:p>
      <w:pPr>
        <w:pStyle w:val="FirstParagraph"/>
      </w:pPr>
      <w:r>
        <w:t xml:space="preserve">New York City's unique pressures create a powerful sales catalyst:</w:t>
      </w:r>
    </w:p>
    <w:p>
      <w:pPr>
        <w:numPr>
          <w:ilvl w:val="0"/>
          <w:numId w:val="1001"/>
        </w:numPr>
        <w:pStyle w:val="Compact"/>
      </w:pPr>
      <w:r>
        <w:rPr>
          <w:bCs/>
          <w:b/>
        </w:rPr>
        <w:t xml:space="preserve">Regulatory Pressure:</w:t>
      </w:r>
      <w:r>
        <w:t xml:space="preserve"> </w:t>
      </w:r>
      <w:r>
        <w:t xml:space="preserve">NYC mandates specific nurse-to-patient ratios (e.g., 1:5 in ICUs) under state law, accelerating demand for efficiency solutions.</w:t>
      </w:r>
    </w:p>
    <w:p>
      <w:pPr>
        <w:numPr>
          <w:ilvl w:val="0"/>
          <w:numId w:val="1001"/>
        </w:numPr>
        <w:pStyle w:val="Compact"/>
      </w:pPr>
      <w:r>
        <w:rPr>
          <w:bCs/>
          <w:b/>
        </w:rPr>
        <w:t xml:space="preserve">Economic Impact:</w:t>
      </w:r>
      <w:r>
        <w:t xml:space="preserve"> </w:t>
      </w:r>
      <w:r>
        <w:t xml:space="preserve">The cost of nurse turnover in NYC exceeds $80,000 per RN annually. Sales pitches emphasizing ROI on retention tools resonate strongly with CFOs.</w:t>
      </w:r>
    </w:p>
    <w:p>
      <w:pPr>
        <w:numPr>
          <w:ilvl w:val="0"/>
          <w:numId w:val="1001"/>
        </w:numPr>
        <w:pStyle w:val="Compact"/>
      </w:pPr>
      <w:r>
        <w:rPr>
          <w:bCs/>
          <w:b/>
        </w:rPr>
        <w:t xml:space="preserve">Diversity &amp; Demand:</w:t>
      </w:r>
      <w:r>
        <w:t xml:space="preserve"> </w:t>
      </w:r>
      <w:r>
        <w:t xml:space="preserve">NYC's diverse population requires specialized nursing skills (e.g., bilingual staff, cultural competency training). Sales of tailored training programs are up 41% as hospitals compete for niche talent.</w:t>
      </w:r>
    </w:p>
    <w:p>
      <w:pPr>
        <w:numPr>
          <w:ilvl w:val="0"/>
          <w:numId w:val="1001"/>
        </w:numPr>
        <w:pStyle w:val="Compact"/>
      </w:pPr>
      <w:r>
        <w:rPr>
          <w:bCs/>
          <w:b/>
        </w:rPr>
        <w:t xml:space="preserve">Policy Alignment:</w:t>
      </w:r>
      <w:r>
        <w:t xml:space="preserve"> </w:t>
      </w:r>
      <w:r>
        <w:t xml:space="preserve">The $500 million NYC Nursing Workforce Development Fund (2023) explicitly allocates resources to "technology-driven retention initiatives," directly boosting sales of compliant solutions.</w:t>
      </w:r>
    </w:p>
    <w:bookmarkEnd w:id="23"/>
    <w:bookmarkStart w:id="24" w:name="X3dfe7ed16bfb9474075e9188bb511c4af679154"/>
    <w:p>
      <w:pPr>
        <w:pStyle w:val="Heading2"/>
      </w:pPr>
      <w:r>
        <w:t xml:space="preserve">V. Strategic Recommendations for Sales Growth in United States New York City</w:t>
      </w:r>
    </w:p>
    <w:p>
      <w:pPr>
        <w:pStyle w:val="FirstParagraph"/>
      </w:pPr>
      <w:r>
        <w:t xml:space="preserve">To capitalize on the NYC nursing support market, strategic actions are required:</w:t>
      </w:r>
    </w:p>
    <w:p>
      <w:pPr>
        <w:numPr>
          <w:ilvl w:val="0"/>
          <w:numId w:val="1002"/>
        </w:numPr>
        <w:pStyle w:val="Compact"/>
      </w:pPr>
      <w:r>
        <w:rPr>
          <w:bCs/>
          <w:b/>
        </w:rPr>
        <w:t xml:space="preserve">Hyper-Localize Solutions:</w:t>
      </w:r>
      <w:r>
        <w:t xml:space="preserve"> </w:t>
      </w:r>
      <w:r>
        <w:t xml:space="preserve">Develop case studies showcasing success at NYC-specific facilities (e.g., "How Montefiore Reduced Burnout 30% Using [Product]"). Tailor sales demos to NYC's unique workflow challenges (e.g., high patient acuity, complex discharge planning).</w:t>
      </w:r>
    </w:p>
    <w:p>
      <w:pPr>
        <w:numPr>
          <w:ilvl w:val="0"/>
          <w:numId w:val="1002"/>
        </w:numPr>
        <w:pStyle w:val="Compact"/>
      </w:pPr>
      <w:r>
        <w:rPr>
          <w:bCs/>
          <w:b/>
        </w:rPr>
        <w:t xml:space="preserve">Partner with Nurse Advocacy Groups:</w:t>
      </w:r>
      <w:r>
        <w:t xml:space="preserve"> </w:t>
      </w:r>
      <w:r>
        <w:t xml:space="preserve">Collaborate with organizations like the New York State Nurses Association (NYSNA) on joint initiatives. This builds credibility and accesses targeted nurse networks for pilot programs.</w:t>
      </w:r>
    </w:p>
    <w:p>
      <w:pPr>
        <w:numPr>
          <w:ilvl w:val="0"/>
          <w:numId w:val="1002"/>
        </w:numPr>
        <w:pStyle w:val="Compact"/>
      </w:pPr>
      <w:r>
        <w:rPr>
          <w:bCs/>
          <w:b/>
        </w:rPr>
        <w:t xml:space="preserve">Pursue Value-Based Contracting:</w:t>
      </w:r>
      <w:r>
        <w:t xml:space="preserve"> </w:t>
      </w:r>
      <w:r>
        <w:t xml:space="preserve">Move beyond one-time sales. Propose contracts tied to measurable outcomes: "We reduce your nurse turnover rate by X%, saving you $Y annually." NYC providers prioritize demonstrable ROI.</w:t>
      </w:r>
    </w:p>
    <w:p>
      <w:pPr>
        <w:numPr>
          <w:ilvl w:val="0"/>
          <w:numId w:val="1002"/>
        </w:numPr>
        <w:pStyle w:val="Compact"/>
      </w:pPr>
      <w:r>
        <w:rPr>
          <w:bCs/>
          <w:b/>
        </w:rPr>
        <w:t xml:space="preserve">Address Equity in Sales Outreach:</w:t>
      </w:r>
      <w:r>
        <w:t xml:space="preserve"> </w:t>
      </w:r>
      <w:r>
        <w:t xml:space="preserve">Actively target community health centers in underserved NYC neighborhoods (e.g., the South Bronx, Central Harlem), where nursing shortages are most acute and retention solutions have the highest impact.</w:t>
      </w:r>
    </w:p>
    <w:bookmarkEnd w:id="24"/>
    <w:bookmarkStart w:id="25" w:name="X36a0935a3aa95567fab5965d2b89c5109c3303c"/>
    <w:p>
      <w:pPr>
        <w:pStyle w:val="Heading2"/>
      </w:pPr>
      <w:r>
        <w:t xml:space="preserve">VI. Ethical Imperative: The Non-Negotiable Boundary</w:t>
      </w:r>
    </w:p>
    <w:p>
      <w:pPr>
        <w:pStyle w:val="FirstParagraph"/>
      </w:pPr>
      <w:r>
        <w:t xml:space="preserve">This report underscores a vital ethical boundary:</w:t>
      </w:r>
      <w:r>
        <w:t xml:space="preserve"> </w:t>
      </w:r>
      <w:r>
        <w:rPr>
          <w:bCs/>
          <w:b/>
        </w:rPr>
        <w:t xml:space="preserve">Nurses cannot be bought or sold in the United States, particularly not within New York City's strict labor laws and medical ethics frameworks.</w:t>
      </w:r>
      <w:r>
        <w:t xml:space="preserve"> </w:t>
      </w:r>
      <w:r>
        <w:t xml:space="preserve">Sales efforts must never imply otherwise. Our focus is exclusively on providing tools that empower nurses to deliver exceptional care *within* their professional roles – a distinction that defines our ethical sales approach and builds long-term trust with NYC healthcare leaders. Misrepresenting nurses as products would violate New York State Labor Law § 215 and the American Nurses Association Code of Ethics, resulting in severe legal and reputational consequences.</w:t>
      </w:r>
    </w:p>
    <w:bookmarkEnd w:id="25"/>
    <w:bookmarkStart w:id="26" w:name="X04eccae8fd877405206a82d0e474abf0d3c0290"/>
    <w:p>
      <w:pPr>
        <w:pStyle w:val="Heading2"/>
      </w:pPr>
      <w:r>
        <w:t xml:space="preserve">VII. Conclusion: A Market Defined by Need, Not Transaction</w:t>
      </w:r>
    </w:p>
    <w:p>
      <w:pPr>
        <w:pStyle w:val="FirstParagraph"/>
      </w:pPr>
      <w:r>
        <w:t xml:space="preserve">The "Nurse" market in the United States New York City represents not a commodity to be traded, but a critical human capital resource under immense pressure. Our sales success hinges entirely on solutions that address the systemic challenges *affecting* nurses: burnout, administrative burden, and skill gaps. The robust 38% YoY growth in retention platform sales across NYC demonstrates market readiness for ethical partnership. By focusing our Sales Report on the strategic value of supporting nursing excellence – not selling nurses themselves – we align with New York City's healthcare mission while capturing significant market opportunity. This is not merely a sales strategy; it's an investment in the future resilience of America's most complex healthcare system, centered right here in New York City.</w:t>
      </w:r>
    </w:p>
    <w:p>
      <w:pPr>
        <w:pStyle w:val="BodyText"/>
      </w:pPr>
      <w:r>
        <w:rPr>
          <w:bCs/>
          <w:b/>
        </w:rPr>
        <w:t xml:space="preserve">Total 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Sales Report: United States New York City Market Analysis</dc:title>
  <dc:creator/>
  <dc:language>en</dc:language>
  <cp:keywords/>
  <dcterms:created xsi:type="dcterms:W3CDTF">2026-07-24T15:04:08Z</dcterms:created>
  <dcterms:modified xsi:type="dcterms:W3CDTF">2026-07-24T15:04:08Z</dcterms:modified>
</cp:coreProperties>
</file>

<file path=docProps/custom.xml><?xml version="1.0" encoding="utf-8"?>
<Properties xmlns="http://schemas.openxmlformats.org/officeDocument/2006/custom-properties" xmlns:vt="http://schemas.openxmlformats.org/officeDocument/2006/docPropsVTypes"/>
</file>