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ac8309f0c65b64b8837bf40a07bd4748f69773b"/>
    <w:p>
      <w:pPr>
        <w:pStyle w:val="Heading1"/>
      </w:pPr>
      <w:r>
        <w:t xml:space="preserve">Comprehensive Sales Performance Report: Occupational Therapist Service Delivery in Belgium Brussels (Q3 2024)</w:t>
      </w:r>
    </w:p>
    <w:bookmarkStart w:id="20" w:name="executive-summary"/>
    <w:p>
      <w:pPr>
        <w:pStyle w:val="Heading2"/>
      </w:pPr>
      <w:r>
        <w:t xml:space="preserve">Executive Summary</w:t>
      </w:r>
    </w:p>
    <w:p>
      <w:pPr>
        <w:pStyle w:val="FirstParagraph"/>
      </w:pPr>
      <w:r>
        <w:t xml:space="preserve">This Sales Report details the performance of Occupational Therapy (OT) service delivery across our network of clinics operating within the Brussels-Capital Region. As a leading provider of rehabilitation services, we have observed significant growth in demand for specialized occupational therapy, driven by Belgium's aging population, evolving healthcare policies, and increased awareness of neurorehabilitation needs. This report analyzes sales metrics (client acquisition, retention rates), market positioning within Belgium Brussels' unique healthcare ecosystem, and strategic recommendations to capitalize on emerging opportunities.</w:t>
      </w:r>
    </w:p>
    <w:bookmarkEnd w:id="20"/>
    <w:bookmarkStart w:id="21" w:name="X9a3c34c2861ea63088ee235cae44f03379ab683"/>
    <w:p>
      <w:pPr>
        <w:pStyle w:val="Heading2"/>
      </w:pPr>
      <w:r>
        <w:t xml:space="preserve">Market Context: Occupational Therapy in Belgium Brussels</w:t>
      </w:r>
    </w:p>
    <w:p>
      <w:pPr>
        <w:pStyle w:val="FirstParagraph"/>
      </w:pPr>
      <w:r>
        <w:t xml:space="preserve">Occupational Therapists in Belgium are regulated health professionals certified under the Federal Public Service Health (FPS Health) framework. In Brussels, the demand for OT services has surged due to two critical factors: 1) The region's high elderly population (over 24% aged 65+), requiring support with activities of daily living (ADLs), and 2) The European Commission’s recent emphasis on community-based care, reducing hospital stays. As a result, Occupational Therapists in Belgium Brussels now serve diverse client segments – including post-stroke patients, children with developmental disorders (e.g., autism spectrum disorder), and individuals recovering from orthopedic injuries.</w:t>
      </w:r>
    </w:p>
    <w:p>
      <w:pPr>
        <w:pStyle w:val="BodyText"/>
      </w:pPr>
      <w:r>
        <w:t xml:space="preserve">Crucially, the Belgian healthcare system requires all OT services to be billed through the national health insurance (RAMQ) or private insurers. Our sales strategy focuses on seamless integration with Brussels’ primary care networks, including partnerships with 12 major hospitals (e.g., Erasme Hospital, Cliniques Saint-Jules) and 35 community centers across the region. This alignment has been pivotal in driving client acquisition.</w:t>
      </w:r>
    </w:p>
    <w:bookmarkEnd w:id="21"/>
    <w:bookmarkStart w:id="24" w:name="sales-performance-analysis-q3-2024"/>
    <w:p>
      <w:pPr>
        <w:pStyle w:val="Heading2"/>
      </w:pPr>
      <w:r>
        <w:t xml:space="preserve">Sales Performance Analysis: Q3 2024</w:t>
      </w:r>
    </w:p>
    <w:bookmarkStart w:id="22" w:name="key-sales-metrics-brussels-region"/>
    <w:p>
      <w:pPr>
        <w:pStyle w:val="Heading3"/>
      </w:pPr>
      <w:r>
        <w:t xml:space="preserve">Key Sales Metrics (Brussels Region)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2024 Value</w:t>
            </w:r>
          </w:p>
        </w:tc>
        <w:tc>
          <w:tcPr/>
          <w:p>
            <w:pPr>
              <w:pStyle w:val="Compact"/>
              <w:jc w:val="left"/>
            </w:pPr>
            <w:r>
              <w:t xml:space="preserve">YoY Change</w:t>
            </w:r>
          </w:p>
        </w:tc>
      </w:tr>
      <w:tr>
        <w:tc>
          <w:tcPr/>
          <w:p>
            <w:pPr>
              <w:pStyle w:val="Compact"/>
              <w:jc w:val="left"/>
            </w:pPr>
            <w:r>
              <w:t xml:space="preserve">Total OT Client Sessions (Brussels)</w:t>
            </w:r>
          </w:p>
        </w:tc>
        <w:tc>
          <w:tcPr/>
          <w:p>
            <w:pPr>
              <w:pStyle w:val="Compact"/>
              <w:jc w:val="left"/>
            </w:pPr>
            <w:r>
              <w:t xml:space="preserve">4,850</w:t>
            </w:r>
          </w:p>
        </w:tc>
        <w:tc>
          <w:tcPr/>
          <w:p>
            <w:pPr>
              <w:pStyle w:val="Compact"/>
              <w:jc w:val="left"/>
            </w:pPr>
            <w:r>
              <w:t xml:space="preserve">+18.7% vs Q3 2023</w:t>
            </w:r>
          </w:p>
        </w:tc>
      </w:tr>
      <w:tr>
        <w:tc>
          <w:tcPr/>
          <w:p>
            <w:pPr>
              <w:pStyle w:val="Compact"/>
              <w:jc w:val="left"/>
            </w:pPr>
            <w:r>
              <w:t xml:space="preserve">Client Retention Rate (6+ months)</w:t>
            </w:r>
          </w:p>
        </w:tc>
        <w:tc>
          <w:tcPr/>
          <w:p>
            <w:pPr>
              <w:pStyle w:val="Compact"/>
              <w:jc w:val="left"/>
            </w:pPr>
            <w:r>
              <w:t xml:space="preserve">76.2%</w:t>
            </w:r>
          </w:p>
        </w:tc>
        <w:tc>
          <w:tcPr/>
          <w:p>
            <w:pPr>
              <w:pStyle w:val="Compact"/>
              <w:jc w:val="left"/>
            </w:pPr>
            <w:r>
              <w:t xml:space="preserve">+9.1% YoY</w:t>
            </w:r>
          </w:p>
        </w:tc>
      </w:tr>
      <w:tr>
        <w:tc>
          <w:tcPr/>
          <w:p>
            <w:pPr>
              <w:pStyle w:val="Compact"/>
              <w:jc w:val="left"/>
            </w:pPr>
            <w:r>
              <w:t xml:space="preserve">Average Revenue Per Client (RPT)</w:t>
            </w:r>
          </w:p>
        </w:tc>
        <w:tc>
          <w:tcPr/>
          <w:p>
            <w:pPr>
              <w:pStyle w:val="Compact"/>
              <w:jc w:val="left"/>
            </w:pPr>
            <w:r>
              <w:t xml:space="preserve">€845/session</w:t>
            </w:r>
          </w:p>
        </w:tc>
        <w:tc>
          <w:tcPr/>
          <w:p>
            <w:pPr>
              <w:pStyle w:val="Compact"/>
              <w:jc w:val="left"/>
            </w:pPr>
            <w:r>
              <w:t xml:space="preserve">+5.3% YoY</w:t>
            </w:r>
          </w:p>
        </w:tc>
      </w:tr>
      <w:tr>
        <w:tc>
          <w:tcPr>
            <w:gridSpan w:val="2"/>
          </w:tcPr>
          <w:p>
            <w:pPr>
              <w:pStyle w:val="Compact"/>
              <w:jc w:val="left"/>
            </w:pPr>
            <w:r>
              <w:t xml:space="preserve">New Client Acquisition from Referrals (Brussels Hospitals)</w:t>
            </w:r>
          </w:p>
        </w:tc>
        <w:tc>
          <w:tcPr/>
          <w:p>
            <w:pPr>
              <w:pStyle w:val="Compact"/>
              <w:jc w:val="left"/>
            </w:pPr>
            <w:r>
              <w:t xml:space="preserve">62.4%</w:t>
            </w:r>
          </w:p>
        </w:tc>
      </w:tr>
    </w:tbl>
    <w:p>
      <w:pPr>
        <w:pStyle w:val="BodyText"/>
      </w:pPr>
      <w:r>
        <w:t xml:space="preserve">The 18.7% YoY growth in sessions directly correlates with increased referrals from Brussels-based medical professionals. For instance, our partnership with the University Hospital of Brussels (Hôpital Universitaire de Bruxelles) yielded a 32% rise in stroke rehab cases – a segment where Occupational Therapists are central to recovery protocols. Additionally, private insurance uptake has grown by 14% as employers recognize OT's ROI in workplace rehabilitation.</w:t>
      </w:r>
    </w:p>
    <w:bookmarkEnd w:id="22"/>
    <w:bookmarkStart w:id="23" w:name="Xbeaa309d75df36c11506ea4a379653681c225ae"/>
    <w:p>
      <w:pPr>
        <w:pStyle w:val="Heading3"/>
      </w:pPr>
      <w:r>
        <w:t xml:space="preserve">Regional Sales Strengths: Belgium Brussels Focus</w:t>
      </w:r>
    </w:p>
    <w:p>
      <w:pPr>
        <w:numPr>
          <w:ilvl w:val="0"/>
          <w:numId w:val="1001"/>
        </w:numPr>
        <w:pStyle w:val="Compact"/>
      </w:pPr>
      <w:r>
        <w:rPr>
          <w:bCs/>
          <w:b/>
        </w:rPr>
        <w:t xml:space="preserve">Policy Alignment:</w:t>
      </w:r>
      <w:r>
        <w:t xml:space="preserve"> </w:t>
      </w:r>
      <w:r>
        <w:t xml:space="preserve">Our service model adheres to the "Brussels Health Strategy 2025," which prioritizes outpatient rehabilitation. This positions Occupational Therapist services as essential, not optional, in the regional healthcare landscape.</w:t>
      </w:r>
    </w:p>
    <w:p>
      <w:pPr>
        <w:numPr>
          <w:ilvl w:val="0"/>
          <w:numId w:val="1001"/>
        </w:numPr>
        <w:pStyle w:val="Compact"/>
      </w:pPr>
      <w:r>
        <w:rPr>
          <w:bCs/>
          <w:b/>
        </w:rPr>
        <w:t xml:space="preserve">Cultural Nuance Expertise:</w:t>
      </w:r>
      <w:r>
        <w:t xml:space="preserve"> </w:t>
      </w:r>
      <w:r>
        <w:t xml:space="preserve">OT teams in Brussels demonstrate fluency in both French and Dutch (the city's official languages), enabling seamless communication with clients across linguistic communities – a critical factor for client satisfaction and retention.</w:t>
      </w:r>
    </w:p>
    <w:p>
      <w:pPr>
        <w:numPr>
          <w:ilvl w:val="0"/>
          <w:numId w:val="1001"/>
        </w:numPr>
        <w:pStyle w:val="Compact"/>
      </w:pPr>
      <w:r>
        <w:rPr>
          <w:bCs/>
          <w:b/>
        </w:rPr>
        <w:t xml:space="preserve">Technology Integration:</w:t>
      </w:r>
      <w:r>
        <w:t xml:space="preserve"> </w:t>
      </w:r>
      <w:r>
        <w:t xml:space="preserve">The use of digital platforms like "Bruxelles Santé Connect" (a regional telehealth initiative) has boosted session efficiency by 25%, directly improving our sales conversion rates during client onboarding.</w:t>
      </w:r>
    </w:p>
    <w:bookmarkEnd w:id="23"/>
    <w:bookmarkEnd w:id="24"/>
    <w:bookmarkStart w:id="25" w:name="X84de13c509c6cd6c359027299b504a23df0c13d"/>
    <w:p>
      <w:pPr>
        <w:pStyle w:val="Heading2"/>
      </w:pPr>
      <w:r>
        <w:t xml:space="preserve">Challenges in the Belgium Brussels Market</w:t>
      </w:r>
    </w:p>
    <w:p>
      <w:pPr>
        <w:pStyle w:val="FirstParagraph"/>
      </w:pPr>
      <w:r>
        <w:t xml:space="preserve">Despite strong growth, two key challenges impact Sales Report accuracy and future performance:</w:t>
      </w:r>
    </w:p>
    <w:p>
      <w:pPr>
        <w:numPr>
          <w:ilvl w:val="0"/>
          <w:numId w:val="1002"/>
        </w:numPr>
        <w:pStyle w:val="Compact"/>
      </w:pPr>
      <w:r>
        <w:rPr>
          <w:bCs/>
          <w:b/>
        </w:rPr>
        <w:t xml:space="preserve">Licensing &amp; Regulation Hurdles:</w:t>
      </w:r>
      <w:r>
        <w:t xml:space="preserve"> </w:t>
      </w:r>
      <w:r>
        <w:t xml:space="preserve">Strict FPS Health certification requirements delay new Occupational Therapist recruitment by 3-4 months. This impacts our ability to scale services during peak demand (e.g., winter flu season), creating temporary client waitlists.</w:t>
      </w:r>
    </w:p>
    <w:p>
      <w:pPr>
        <w:numPr>
          <w:ilvl w:val="0"/>
          <w:numId w:val="1002"/>
        </w:numPr>
        <w:pStyle w:val="Compact"/>
      </w:pPr>
      <w:r>
        <w:rPr>
          <w:bCs/>
          <w:b/>
        </w:rPr>
        <w:t xml:space="preserve">Insurance Reimbursement Variability:</w:t>
      </w:r>
      <w:r>
        <w:t xml:space="preserve"> </w:t>
      </w:r>
      <w:r>
        <w:t xml:space="preserve">While RAMQ covers OT for acute conditions, it offers limited coverage for chronic care – a gap that requires targeted sales pitches to private insurers. In Q3, 28% of potential clients cited reimbursement uncertainty as a barrier.</w:t>
      </w:r>
    </w:p>
    <w:bookmarkEnd w:id="25"/>
    <w:bookmarkStart w:id="26" w:name="strategic-recommendations"/>
    <w:p>
      <w:pPr>
        <w:pStyle w:val="Heading2"/>
      </w:pPr>
      <w:r>
        <w:t xml:space="preserve">Strategic Recommendations</w:t>
      </w:r>
    </w:p>
    <w:p>
      <w:pPr>
        <w:pStyle w:val="FirstParagraph"/>
      </w:pPr>
      <w:r>
        <w:t xml:space="preserve">To sustain and accelerate growth in Belgium Brussels, we propose the following action-oriented strategies:</w:t>
      </w:r>
    </w:p>
    <w:p>
      <w:pPr>
        <w:numPr>
          <w:ilvl w:val="0"/>
          <w:numId w:val="1003"/>
        </w:numPr>
        <w:pStyle w:val="Compact"/>
      </w:pPr>
      <w:r>
        <w:rPr>
          <w:bCs/>
          <w:b/>
        </w:rPr>
        <w:t xml:space="preserve">Expand Community Partnerships:</w:t>
      </w:r>
      <w:r>
        <w:t xml:space="preserve"> </w:t>
      </w:r>
      <w:r>
        <w:t xml:space="preserve">Forge agreements with 5 additional Brussels-based social housing providers (e.g., COCOF initiatives) to integrate OT services into senior living communities. This addresses the aging population demand and aligns with regional policy goals.</w:t>
      </w:r>
    </w:p>
    <w:p>
      <w:pPr>
        <w:numPr>
          <w:ilvl w:val="0"/>
          <w:numId w:val="1003"/>
        </w:numPr>
        <w:pStyle w:val="Compact"/>
      </w:pPr>
      <w:r>
        <w:rPr>
          <w:bCs/>
          <w:b/>
        </w:rPr>
        <w:t xml:space="preserve">Launch Targeted Insurance Campaigns:</w:t>
      </w:r>
      <w:r>
        <w:t xml:space="preserve"> </w:t>
      </w:r>
      <w:r>
        <w:t xml:space="preserve">Develop tailored brochures explaining OT reimbursement under private plans, specifically for businesses in Brussels’ financial district (e.g., EU institutions). This targets high-value B2B sales opportunities.</w:t>
      </w:r>
    </w:p>
    <w:p>
      <w:pPr>
        <w:numPr>
          <w:ilvl w:val="0"/>
          <w:numId w:val="1003"/>
        </w:numPr>
        <w:pStyle w:val="Compact"/>
      </w:pPr>
      <w:r>
        <w:rPr>
          <w:bCs/>
          <w:b/>
        </w:rPr>
        <w:t xml:space="preserve">Invest in Multilingual OT Training:</w:t>
      </w:r>
      <w:r>
        <w:t xml:space="preserve"> </w:t>
      </w:r>
      <w:r>
        <w:t xml:space="preserve">Partner with KU Leuven to create a Brussels-specific certification module on cultural competency. This will reduce client acquisition friction and strengthen our Sales Report credibility as the region’s most culturally attuned provider.</w:t>
      </w:r>
    </w:p>
    <w:bookmarkEnd w:id="26"/>
    <w:bookmarkStart w:id="27" w:name="conclusion"/>
    <w:p>
      <w:pPr>
        <w:pStyle w:val="Heading2"/>
      </w:pPr>
      <w:r>
        <w:t xml:space="preserve">Conclusion</w:t>
      </w:r>
    </w:p>
    <w:p>
      <w:pPr>
        <w:pStyle w:val="FirstParagraph"/>
      </w:pPr>
      <w:r>
        <w:t xml:space="preserve">The Occupational Therapist service line in Belgium Brussels represents a high-growth segment within our portfolio, with Q3 2024 sales exceeding targets by 15.3%. This success is underpinned by deep integration into the region’s healthcare infrastructure and alignment with local policy priorities. However, to maintain momentum, we must proactively address regulatory delays and insurance barriers through strategic partnerships and client education.</w:t>
      </w:r>
    </w:p>
    <w:p>
      <w:pPr>
        <w:pStyle w:val="BodyText"/>
      </w:pPr>
      <w:r>
        <w:t xml:space="preserve">As the demand for Occupational Therapists in Belgium Brussels continues to rise – fueled by demographic shifts and policy evolution – our Sales Report confirms that investing in region-specific service customization is not merely advantageous; it is essential for market leadership. Our next quarter will prioritize closing the insurance coverage gap, ensuring every referral opportunity in Brussels converts into a sustained client relationship.</w:t>
      </w:r>
    </w:p>
    <w:p>
      <w:pPr>
        <w:pStyle w:val="BodyText"/>
      </w:pPr>
      <w:r>
        <w:rPr>
          <w:iCs/>
          <w:i/>
        </w:rPr>
        <w:t xml:space="preserve">Prepared for: Leadership Team, Belgium Brussels Operations</w:t>
      </w:r>
      <w:r>
        <w:br/>
      </w:r>
      <w:r>
        <w:rPr>
          <w:iCs/>
          <w:i/>
        </w:rPr>
        <w:t xml:space="preserve">Date: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Belgium Brussels</dc:title>
  <dc:creator/>
  <dc:language>en</dc:language>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