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Performance</w:t>
      </w:r>
      <w:r>
        <w:t xml:space="preserve"> </w:t>
      </w:r>
      <w:r>
        <w:t xml:space="preserve">Report:</w:t>
      </w:r>
      <w:r>
        <w:t xml:space="preserve"> </w:t>
      </w:r>
      <w:r>
        <w:t xml:space="preserve">Toronto,</w:t>
      </w:r>
      <w:r>
        <w:t xml:space="preserve"> </w:t>
      </w:r>
      <w:r>
        <w:t xml:space="preserve">Canada</w:t>
      </w:r>
    </w:p>
    <w:bookmarkStart w:id="28" w:name="X347027e53eb9b08e3b26829ba067cc576185dbf"/>
    <w:p>
      <w:pPr>
        <w:pStyle w:val="Heading1"/>
      </w:pPr>
      <w:r>
        <w:t xml:space="preserve">Comprehensive Sales Performance Report: Occupational Therapy Services in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Canadian Healthcare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occupational therapy services across Toronto, Canada during the third quarter of 2023. The Canadian healthcare landscape continues to prioritize rehabilitation services, with Toronto emerging as the national leader in occupational therapist (OT) demand. Our Toronto-based OT practice achieved a remarkable 18% year-over-year growth in service revenue, exceeding targets by $425,000. This success is directly attributable to strategic market positioning within Canada's evolving healthcare framework and our specialized focus on Toronto's unique demographic needs. The report underscores the critical role of certified Occupational Therapists in Canada's community health ecosystem and validates our investment in Toronto as a high-potential growth market.</w:t>
      </w:r>
    </w:p>
    <w:bookmarkEnd w:id="20"/>
    <w:bookmarkStart w:id="21" w:name="Xaabf2d19c2603c4c55f737586dd9cbd726f7dcc"/>
    <w:p>
      <w:pPr>
        <w:pStyle w:val="Heading2"/>
      </w:pPr>
      <w:r>
        <w:t xml:space="preserve">II. Market Context: Occupational Therapy Demand in Canada Toronto</w:t>
      </w:r>
    </w:p>
    <w:p>
      <w:pPr>
        <w:pStyle w:val="FirstParagraph"/>
      </w:pPr>
      <w:r>
        <w:t xml:space="preserve">Toronto represents 38% of Ontario's population and serves as the epicenter for healthcare innovation in Canada. The City of Toronto has experienced a 24% surge in OT referrals since 2019, driven by aging demographics (16% over 65), increased neurorehabilitation needs from stroke/trauma cases, and heightened awareness of mental health integration into occupational therapy practice. According to the Canadian Occupational Therapy Association (COTA), Toronto accounts for 32% of all OT employment in Canada – a statistic that underscores our strategic focus on this market. The provincial government's recent $87M investment in community-based rehabilitation services has created unprecedented demand for qualified Occupational Therapists across Toronto neighborhoods from Scarborough to Downtown.</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Q3 2023 Revenue</w:t>
      </w:r>
    </w:p>
    <w:p>
      <w:pPr>
        <w:pStyle w:val="BodyText"/>
      </w:pPr>
      <w:r>
        <w:t xml:space="preserve">% of Total Revenue</w:t>
      </w:r>
    </w:p>
    <w:p>
      <w:pPr>
        <w:pStyle w:val="BodyText"/>
      </w:pPr>
      <w:r>
        <w:t xml:space="preserve">YoY Growth</w:t>
      </w:r>
    </w:p>
    <w:p>
      <w:pPr>
        <w:pStyle w:val="BodyText"/>
      </w:pPr>
      <w:r>
        <w:t xml:space="preserve">Adult Neurorehabilitation (Stroke/TBI)</w:t>
      </w:r>
    </w:p>
    <w:p>
      <w:pPr>
        <w:pStyle w:val="BodyText"/>
      </w:pPr>
      <w:r>
        <w:t xml:space="preserve">$685,000</w:t>
      </w:r>
    </w:p>
    <w:p>
      <w:pPr>
        <w:pStyle w:val="BodyText"/>
      </w:pPr>
      <w:r>
        <w:t xml:space="preserve">39.2%</w:t>
      </w:r>
    </w:p>
    <w:p>
      <w:pPr>
        <w:pStyle w:val="BodyText"/>
      </w:pPr>
      <w:r>
        <w:t xml:space="preserve">+27%</w:t>
      </w:r>
    </w:p>
    <w:p>
      <w:pPr>
        <w:pStyle w:val="BodyText"/>
      </w:pPr>
      <w:r>
        <w:t xml:space="preserve">Pediatric Developmental Services</w:t>
      </w:r>
    </w:p>
    <w:p>
      <w:pPr>
        <w:pStyle w:val="BodyText"/>
      </w:pPr>
      <w:r>
        <w:t xml:space="preserve">$412,500</w:t>
      </w:r>
    </w:p>
    <w:p>
      <w:pPr>
        <w:pStyle w:val="BodyText"/>
      </w:pPr>
      <w:r>
        <w:t xml:space="preserve">23.6%</w:t>
      </w:r>
    </w:p>
    <w:p>
      <w:pPr>
        <w:pStyle w:val="BodyText"/>
      </w:pPr>
      <w:r>
        <w:t xml:space="preserve">+19%</w:t>
      </w:r>
    </w:p>
    <w:p>
      <w:pPr>
        <w:pStyle w:val="BodyText"/>
      </w:pPr>
      <w:r>
        <w:t xml:space="preserve">Workplace Ergonomics &amp; Return-to-Work</w:t>
      </w:r>
    </w:p>
    <w:p>
      <w:pPr>
        <w:pStyle w:val="BodyText"/>
      </w:pPr>
      <w:r>
        <w:t xml:space="preserve">$387,200</w:t>
      </w:r>
    </w:p>
    <w:p>
      <w:pPr>
        <w:pStyle w:val="BodyText"/>
      </w:pPr>
      <w:r>
        <w:t xml:space="preserve">22.1%</w:t>
      </w:r>
    </w:p>
    <w:p>
      <w:pPr>
        <w:pStyle w:val="BodyText"/>
      </w:pPr>
      <w:r>
        <w:t xml:space="preserve">+34%</w:t>
      </w:r>
    </w:p>
    <w:p>
      <w:pPr>
        <w:pStyle w:val="BodyText"/>
      </w:pPr>
      <w:r>
        <w:t xml:space="preserve">Mental Health Integration Programs</w:t>
      </w:r>
    </w:p>
    <w:p>
      <w:pPr>
        <w:pStyle w:val="BodyText"/>
      </w:pPr>
      <w:r>
        <w:t xml:space="preserve">$195,600</w:t>
      </w:r>
    </w:p>
    <w:p>
      <w:pPr>
        <w:pStyle w:val="BodyText"/>
      </w:pPr>
      <w:r>
        <w:t xml:space="preserve">11.2%</w:t>
      </w:r>
    </w:p>
    <w:p>
      <w:pPr>
        <w:pStyle w:val="BodyText"/>
      </w:pPr>
      <w:r>
        <w:br/>
      </w:r>
    </w:p>
    <w:p>
      <w:pPr>
        <w:pStyle w:val="BodyText"/>
      </w:pPr>
      <w:r>
        <w:t xml:space="preserve">Key highlights include:</w:t>
      </w:r>
    </w:p>
    <w:p>
      <w:pPr>
        <w:numPr>
          <w:ilvl w:val="0"/>
          <w:numId w:val="1001"/>
        </w:numPr>
        <w:pStyle w:val="Compact"/>
      </w:pPr>
      <w:r>
        <w:t xml:space="preserve">The pediatric developmental services segment achieved a record 37% increase in client volume at our North York clinic, directly responding to Toronto Public Health's new early intervention initiatives.</w:t>
      </w:r>
    </w:p>
    <w:p>
      <w:pPr>
        <w:numPr>
          <w:ilvl w:val="0"/>
          <w:numId w:val="1001"/>
        </w:numPr>
        <w:pStyle w:val="Compact"/>
      </w:pPr>
      <w:r>
        <w:t xml:space="preserve">Workplace ergonomics contracts grew through partnerships with major Toronto employers (including RBC and Rogers Communications), generating $182,000 in new revenue.</w:t>
      </w:r>
    </w:p>
    <w:p>
      <w:pPr>
        <w:numPr>
          <w:ilvl w:val="0"/>
          <w:numId w:val="1001"/>
        </w:numPr>
        <w:pStyle w:val="Compact"/>
      </w:pPr>
      <w:r>
        <w:t xml:space="preserve">Our mental health integration program – the first of its kind in Canada to receive provincial funding approval – secured 14 community partners across Toronto during Q3.</w:t>
      </w:r>
    </w:p>
    <w:bookmarkEnd w:id="22"/>
    <w:bookmarkStart w:id="23" w:name="X0f5757b15418e8f7996412aa72c2e9e4b247d98"/>
    <w:p>
      <w:pPr>
        <w:pStyle w:val="Heading2"/>
      </w:pPr>
      <w:r>
        <w:t xml:space="preserve">IV. Competitive Differentiation: The Occupational Therapist Advantage</w:t>
      </w:r>
    </w:p>
    <w:p>
      <w:pPr>
        <w:pStyle w:val="FirstParagraph"/>
      </w:pPr>
      <w:r>
        <w:t xml:space="preserve">What sets our Toronto OT services apart is our commitment to evidence-based practice aligned with Canadian healthcare standards. Unlike national competitors who offer generic therapy packages, our Occupational Therapists in Toronto are certified in specialized Canadian frameworks including:</w:t>
      </w:r>
    </w:p>
    <w:p>
      <w:pPr>
        <w:numPr>
          <w:ilvl w:val="0"/>
          <w:numId w:val="1002"/>
        </w:numPr>
        <w:pStyle w:val="Compact"/>
      </w:pPr>
      <w:r>
        <w:t xml:space="preserve">COTA's Ontario-Specific Practice Guidelines</w:t>
      </w:r>
    </w:p>
    <w:p>
      <w:pPr>
        <w:numPr>
          <w:ilvl w:val="0"/>
          <w:numId w:val="1002"/>
        </w:numPr>
        <w:pStyle w:val="Compact"/>
      </w:pPr>
      <w:r>
        <w:t xml:space="preserve">PHSA (Public Health Service Authority) Integrated Care Models</w:t>
      </w:r>
    </w:p>
    <w:p>
      <w:pPr>
        <w:numPr>
          <w:ilvl w:val="0"/>
          <w:numId w:val="1002"/>
        </w:numPr>
        <w:pStyle w:val="Compact"/>
      </w:pPr>
      <w:r>
        <w:t xml:space="preserve">Toronto-specific community resource mapping (including access to 280+ subsidized housing and support programs)</w:t>
      </w:r>
    </w:p>
    <w:p>
      <w:pPr>
        <w:pStyle w:val="FirstParagraph"/>
      </w:pPr>
      <w:r>
        <w:t xml:space="preserve">This specialization drives superior client outcomes – our Toronto OTs achieve 92% client satisfaction versus the Canadian average of 78%, directly contributing to a 41% referral rate from primary care physicians. The Sales Report confirms that when healthcare providers in Canada Toronto seek Occupational Therapists, they prioritize certified professionals with localized community knowledge.</w:t>
      </w:r>
    </w:p>
    <w:bookmarkEnd w:id="23"/>
    <w:bookmarkStart w:id="24" w:name="X51cefc719f7fa076a69b1959397741c745a57ab"/>
    <w:p>
      <w:pPr>
        <w:pStyle w:val="Heading2"/>
      </w:pPr>
      <w:r>
        <w:t xml:space="preserve">V. Challenges in the Canada Toronto Market</w:t>
      </w:r>
    </w:p>
    <w:p>
      <w:pPr>
        <w:pStyle w:val="FirstParagraph"/>
      </w:pPr>
      <w:r>
        <w:t xml:space="preserve">Despite strong performance, we faced significant challenges unique to Toronto's competitive landscape:</w:t>
      </w:r>
    </w:p>
    <w:p>
      <w:pPr>
        <w:numPr>
          <w:ilvl w:val="0"/>
          <w:numId w:val="1003"/>
        </w:numPr>
        <w:pStyle w:val="Compact"/>
      </w:pPr>
      <w:r>
        <w:rPr>
          <w:bCs/>
          <w:b/>
        </w:rPr>
        <w:t xml:space="preserve">OT Shortage Crisis:</w:t>
      </w:r>
      <w:r>
        <w:t xml:space="preserve"> </w:t>
      </w:r>
      <w:r>
        <w:t xml:space="preserve">Toronto faces a 17% deficit in certified Occupational Therapists (per COTA 2023), causing average wait times of 8.5 weeks for new referrals – creating a critical barrier to service expansion.</w:t>
      </w:r>
    </w:p>
    <w:p>
      <w:pPr>
        <w:numPr>
          <w:ilvl w:val="0"/>
          <w:numId w:val="1003"/>
        </w:numPr>
        <w:pStyle w:val="Compact"/>
      </w:pPr>
      <w:r>
        <w:rPr>
          <w:bCs/>
          <w:b/>
        </w:rPr>
        <w:t xml:space="preserve">Insurance Reimbursement Complexity:</w:t>
      </w:r>
      <w:r>
        <w:t xml:space="preserve"> </w:t>
      </w:r>
      <w:r>
        <w:t xml:space="preserve">Navigating OHIP, WSIB, and private insurance systems in Canada requires specialized administrative support that increased our operational costs by 12% in Q3.</w:t>
      </w:r>
    </w:p>
    <w:p>
      <w:pPr>
        <w:numPr>
          <w:ilvl w:val="0"/>
          <w:numId w:val="1003"/>
        </w:numPr>
        <w:pStyle w:val="Compact"/>
      </w:pPr>
      <w:r>
        <w:rPr>
          <w:bCs/>
          <w:b/>
        </w:rPr>
        <w:t xml:space="preserve">Demographic Fragmentation:</w:t>
      </w:r>
      <w:r>
        <w:t xml:space="preserve"> </w:t>
      </w:r>
      <w:r>
        <w:t xml:space="preserve">Toronto's diverse neighborhoods (e.g., high-income Yorkville vs. low-income Regent Park) require tailored service models that demand additional resource investment.</w:t>
      </w:r>
    </w:p>
    <w:bookmarkEnd w:id="24"/>
    <w:bookmarkStart w:id="25" w:name="X68237eca081405bfa3973b671fba23c81397126"/>
    <w:p>
      <w:pPr>
        <w:pStyle w:val="Heading2"/>
      </w:pPr>
      <w:r>
        <w:t xml:space="preserve">VI. Strategic Initiatives for Growth in Canada Toronto</w:t>
      </w:r>
    </w:p>
    <w:p>
      <w:pPr>
        <w:pStyle w:val="FirstParagraph"/>
      </w:pPr>
      <w:r>
        <w:t xml:space="preserve">To overcome market constraints, our Q4 strategy focuses on three pillars directly addressing Toronto's OT needs:</w:t>
      </w:r>
    </w:p>
    <w:p>
      <w:pPr>
        <w:numPr>
          <w:ilvl w:val="0"/>
          <w:numId w:val="1004"/>
        </w:numPr>
        <w:pStyle w:val="Compact"/>
      </w:pPr>
      <w:r>
        <w:rPr>
          <w:bCs/>
          <w:b/>
        </w:rPr>
        <w:t xml:space="preserve">OT Workforce Development Partnership:</w:t>
      </w:r>
      <w:r>
        <w:t xml:space="preserve"> </w:t>
      </w:r>
      <w:r>
        <w:t xml:space="preserve">Collaborating with Ryerson University and Toronto Rehab to establish a new Ontario-licensed OT training pipeline. This initiative will create 25 new entry-level positions in our Toronto practice by Q2 2024.</w:t>
      </w:r>
    </w:p>
    <w:p>
      <w:pPr>
        <w:numPr>
          <w:ilvl w:val="0"/>
          <w:numId w:val="1004"/>
        </w:numPr>
        <w:pStyle w:val="Compact"/>
      </w:pPr>
      <w:r>
        <w:rPr>
          <w:bCs/>
          <w:b/>
        </w:rPr>
        <w:t xml:space="preserve">Digital Service Expansion:</w:t>
      </w:r>
      <w:r>
        <w:t xml:space="preserve"> </w:t>
      </w:r>
      <w:r>
        <w:t xml:space="preserve">Launching "Toronto OT Connect" – a telehealth platform approved by the College of Occupational Therapists of Ontario, targeting rural Toronto communities with limited clinic access. Projected to capture $350K in new revenue within 12 months.</w:t>
      </w:r>
    </w:p>
    <w:p>
      <w:pPr>
        <w:numPr>
          <w:ilvl w:val="0"/>
          <w:numId w:val="1004"/>
        </w:numPr>
        <w:pStyle w:val="Compact"/>
      </w:pPr>
      <w:r>
        <w:rPr>
          <w:bCs/>
          <w:b/>
        </w:rPr>
        <w:t xml:space="preserve">Community Health Integration:</w:t>
      </w:r>
      <w:r>
        <w:t xml:space="preserve"> </w:t>
      </w:r>
      <w:r>
        <w:t xml:space="preserve">Formalizing partnerships with 15 Toronto neighborhood health centers (including St. Michael's and Unity Health) to embed Occupational Therapists directly into primary care teams, addressing the province's $200M "Integrated Care" initiative.</w:t>
      </w:r>
    </w:p>
    <w:bookmarkEnd w:id="25"/>
    <w:bookmarkStart w:id="26" w:name="Xdccdca72d201c0e570276382febad49d897e68a"/>
    <w:p>
      <w:pPr>
        <w:pStyle w:val="Heading2"/>
      </w:pPr>
      <w:r>
        <w:t xml:space="preserve">VII. Financial Outlook &amp; Investment Justification</w:t>
      </w:r>
    </w:p>
    <w:p>
      <w:pPr>
        <w:pStyle w:val="FirstParagraph"/>
      </w:pPr>
      <w:r>
        <w:t xml:space="preserve">Our Toronto market analysis demonstrates a compelling investment case: The city's OT demand is projected to grow at 15.3% annually through 2026 (Canadian Healthcare Economics). By securing a strategic position in Canada's most concentrated healthcare market, we project $4.8M in annual revenue from Toronto operations by Q4 2024 – representing a 57% increase from current levels.</w:t>
      </w:r>
    </w:p>
    <w:p>
      <w:pPr>
        <w:pStyle w:val="BodyText"/>
      </w:pPr>
      <w:r>
        <w:t xml:space="preserve">This Sales Report confirms that Occupational Therapists are not just service providers but strategic assets in Canada's healthcare transformation. Our Toronto practice has become a model for national scalability, proving that localized expertise combined with Canadian regulatory compliance directly drives sales growth in the most competitive market segments. As Ontario's population continues aging and community health initiatives expand, our data shows Toronto will remain the epicenter of occupational therapy opportunity across Canada.</w:t>
      </w:r>
    </w:p>
    <w:bookmarkEnd w:id="26"/>
    <w:bookmarkStart w:id="27" w:name="viii.-conclusion"/>
    <w:p>
      <w:pPr>
        <w:pStyle w:val="Heading2"/>
      </w:pPr>
      <w:r>
        <w:t xml:space="preserve">VIII. Conclusion</w:t>
      </w:r>
    </w:p>
    <w:p>
      <w:pPr>
        <w:pStyle w:val="FirstParagraph"/>
      </w:pPr>
      <w:r>
        <w:t xml:space="preserve">The Q3 2023 Sales Report for Occupational Therapy Services in Canada Toronto delivers unequivocal evidence: Strategic investment in certified Occupational Therapists within Toronto's healthcare ecosystem yields exceptional returns. With market demand outpacing supply by 17%, our focus on specialized service delivery has positioned us as a leader in the Canadian OT sector. We recommend full funding approval for our Q4 workforce development initiatives to capitalize on Toronto's unparalleled growth trajectory – ensuring that every Occupational Therapist we deploy in Canada Toronto becomes a revenue driver, not merely an expense.</w:t>
      </w:r>
    </w:p>
    <w:p>
      <w:pPr>
        <w:pStyle w:val="BodyText"/>
      </w:pPr>
      <w:r>
        <w:rPr>
          <w:bCs/>
          <w:b/>
        </w:rPr>
        <w:t xml:space="preserve">Prepared By:</w:t>
      </w:r>
      <w:r>
        <w:t xml:space="preserve"> </w:t>
      </w:r>
      <w:r>
        <w:t xml:space="preserve">Sarah Chen, Director of Sales Strategy</w:t>
      </w:r>
      <w:r>
        <w:br/>
      </w:r>
      <w:r>
        <w:rPr>
          <w:bCs/>
          <w:b/>
        </w:rPr>
        <w:t xml:space="preserve">Canadian Healthcare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Performance Report: Toronto, Canada</dc:title>
  <dc:creator/>
  <dc:language>en</dc:language>
  <cp:keywords/>
  <dcterms:created xsi:type="dcterms:W3CDTF">2026-07-21T03:55:25Z</dcterms:created>
  <dcterms:modified xsi:type="dcterms:W3CDTF">2026-07-21T03:55:25Z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