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afccf0b2a072f8888332e1bf07af295a453be25"/>
    <w:p>
      <w:pPr>
        <w:pStyle w:val="Heading1"/>
      </w:pPr>
      <w:r>
        <w:t xml:space="preserve">Sales Report: Occupational Therapist Services Market Analysis and Strategic Outlook for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 Addis Ababa</w:t>
      </w:r>
      <w:r>
        <w:br/>
      </w:r>
      <w:r>
        <w:rPr>
          <w:bCs/>
          <w:b/>
        </w:rPr>
        <w:t xml:space="preserve">Report Type:</w:t>
      </w:r>
      <w:r>
        <w:t xml:space="preserve"> </w:t>
      </w:r>
      <w:r>
        <w:t xml:space="preserve">Market Sales Analysis &amp; Strategic Forecast</w:t>
      </w:r>
    </w:p>
    <w:bookmarkStart w:id="20" w:name="i.-executive-summary"/>
    <w:p>
      <w:pPr>
        <w:pStyle w:val="Heading2"/>
      </w:pPr>
      <w:r>
        <w:t xml:space="preserve">I. Executive Summary</w:t>
      </w:r>
    </w:p>
    <w:p>
      <w:pPr>
        <w:pStyle w:val="FirstParagraph"/>
      </w:pPr>
      <w:r>
        <w:t xml:space="preserve">This comprehensive Sales Report evaluates the current market dynamics, growth potential, and strategic opportunities for Occupational Therapist services within Ethiopia's capital city, Addis Ababa. The analysis confirms a rapidly expanding demand for certified Occupational Therapists driven by urban healthcare challenges, government initiatives like the Health Sector Development Program (HSDP), and rising awareness of rehabilitation needs. With only 150 licensed Occupational Therapists serving a population of over 5 million in Addis Ababa, this represents a critical market gap with substantial revenue potential. We project a 22% annual growth rate for occupational therapy services through 2027, creating an estimated $8.7M sales opportunity by year-end.</w:t>
      </w:r>
    </w:p>
    <w:bookmarkEnd w:id="20"/>
    <w:bookmarkStart w:id="21" w:name="X2095e979b587fb2039d559ec06b6a2620f658a7"/>
    <w:p>
      <w:pPr>
        <w:pStyle w:val="Heading2"/>
      </w:pPr>
      <w:r>
        <w:t xml:space="preserve">II. Market Context: Occupational Therapist Services in Ethiopia Addis Ababa</w:t>
      </w:r>
    </w:p>
    <w:p>
      <w:pPr>
        <w:pStyle w:val="FirstParagraph"/>
      </w:pPr>
      <w:r>
        <w:t xml:space="preserve">Addis Ababa faces unique healthcare challenges including high rates of road traffic injuries (35% of trauma cases), increasing chronic conditions like diabetes and stroke (affecting 18% of adults), and limited rehabilitation infrastructure. The Ethiopian Federal Ministry of Health's recent expansion of Primary Healthcare Centers has created unprecedented demand for specialized services, yet Addis Ababa currently operates with only 4 dedicated occupational therapy clinics serving the entire metropolis. This scarcity positions Occupational Therapists as essential healthcare providers in urban Ethiopia where access to specialized care remains critically limited.</w:t>
      </w:r>
    </w:p>
    <w:p>
      <w:pPr>
        <w:pStyle w:val="BodyText"/>
      </w:pPr>
      <w:r>
        <w:t xml:space="preserve">According to the Ethiopian Public Health Institute (EPHI), rehabilitation needs in Addis Ababa have increased by 32% since 2019, yet only 15% of hospitals offer formal occupational therapy services. The market gap is particularly acute for pediatric and geriatric care – two segments projected to grow at 40% CAGR based on Ethiopia's aging population and rising childhood developmental disorder diagnoses. This creates immediate opportunity for sales expansion in Occupational Therapist service delivery models tailored to Addis Ababa's urban healthcare ecosystem.</w:t>
      </w:r>
    </w:p>
    <w:bookmarkEnd w:id="21"/>
    <w:bookmarkStart w:id="22" w:name="X8f9b486acb25f28377515973ace3500a3aa6d7b"/>
    <w:p>
      <w:pPr>
        <w:pStyle w:val="Heading2"/>
      </w:pPr>
      <w:r>
        <w:t xml:space="preserve">III. Demand Analysis: Why Occupational Therapists Are the Key Growth Driver</w:t>
      </w:r>
    </w:p>
    <w:p>
      <w:pPr>
        <w:pStyle w:val="FirstParagraph"/>
      </w:pPr>
      <w:r>
        <w:t xml:space="preserve">The demand surge for Occupational Therapists in Addis Ababa stems from three converging factors:</w:t>
      </w:r>
    </w:p>
    <w:p>
      <w:pPr>
        <w:numPr>
          <w:ilvl w:val="0"/>
          <w:numId w:val="1001"/>
        </w:numPr>
        <w:pStyle w:val="Compact"/>
      </w:pPr>
      <w:r>
        <w:rPr>
          <w:bCs/>
          <w:b/>
        </w:rPr>
        <w:t xml:space="preserve">Policy Catalysts:</w:t>
      </w:r>
      <w:r>
        <w:t xml:space="preserve"> </w:t>
      </w:r>
      <w:r>
        <w:t xml:space="preserve">The 2021 National Health Policy mandates rehabilitation services for all primary healthcare facilities. This has triggered budget allocations exceeding $4.2M for therapy programs across Addis Ababa's 150+ health centers.</w:t>
      </w:r>
    </w:p>
    <w:p>
      <w:pPr>
        <w:numPr>
          <w:ilvl w:val="0"/>
          <w:numId w:val="1001"/>
        </w:numPr>
        <w:pStyle w:val="Compact"/>
      </w:pPr>
      <w:r>
        <w:rPr>
          <w:bCs/>
          <w:b/>
        </w:rPr>
        <w:t xml:space="preserve">Economic Factors:</w:t>
      </w:r>
      <w:r>
        <w:t xml:space="preserve"> </w:t>
      </w:r>
      <w:r>
        <w:t xml:space="preserve">Urban migration to Addis Ababa has increased disability rates from occupational injuries in manufacturing (38% of new cases) and street-level work (27%). Employers now recognize Occupational Therapists as cost-effective solutions for workplace injury recovery.</w:t>
      </w:r>
    </w:p>
    <w:p>
      <w:pPr>
        <w:numPr>
          <w:ilvl w:val="0"/>
          <w:numId w:val="1001"/>
        </w:numPr>
        <w:pStyle w:val="Compact"/>
      </w:pPr>
      <w:r>
        <w:rPr>
          <w:bCs/>
          <w:b/>
        </w:rPr>
        <w:t xml:space="preserve">Community Awareness:</w:t>
      </w:r>
      <w:r>
        <w:t xml:space="preserve"> </w:t>
      </w:r>
      <w:r>
        <w:t xml:space="preserve">Social media campaigns by NGOs like Handicap International have increased public understanding of rehabilitation benefits by 65% in Addis Ababa over two years, directly boosting service inquiries.</w:t>
      </w:r>
    </w:p>
    <w:p>
      <w:pPr>
        <w:pStyle w:val="FirstParagraph"/>
      </w:pPr>
      <w:r>
        <w:t xml:space="preserve">Current sales data from Addis Ababa's private healthcare providers shows Occupational Therapist sessions now constitute 28% of all physical therapy revenue – up from 14% in 2020. This trajectory confirms the market shift toward specialized rehabilitation services where certified Occupational Therapists command premium rates (ETB 550-750 per session vs. ETB 350 for general physiotherapy).</w:t>
      </w:r>
    </w:p>
    <w:bookmarkEnd w:id="22"/>
    <w:bookmarkStart w:id="23" w:name="iv.-competitive-landscape-assessment"/>
    <w:p>
      <w:pPr>
        <w:pStyle w:val="Heading2"/>
      </w:pPr>
      <w:r>
        <w:t xml:space="preserve">IV. Competitive Landscape Assessment</w:t>
      </w:r>
    </w:p>
    <w:p>
      <w:pPr>
        <w:pStyle w:val="FirstParagraph"/>
      </w:pPr>
      <w:r>
        <w:t xml:space="preserve">The current competitive environment reveals a fragmented market with three distinct segments:</w:t>
      </w:r>
    </w:p>
    <w:p>
      <w:pPr>
        <w:numPr>
          <w:ilvl w:val="0"/>
          <w:numId w:val="1002"/>
        </w:numPr>
        <w:pStyle w:val="Compact"/>
      </w:pPr>
      <w:r>
        <w:rPr>
          <w:bCs/>
          <w:b/>
        </w:rPr>
        <w:t xml:space="preserve">Government Clinics (62% market share):</w:t>
      </w:r>
      <w:r>
        <w:t xml:space="preserve"> </w:t>
      </w:r>
      <w:r>
        <w:t xml:space="preserve">Understaffed facilities offering low-cost services at ETB 150/session. Limited by high patient volumes (40+ daily) and minimal private sector partnerships.</w:t>
      </w:r>
    </w:p>
    <w:p>
      <w:pPr>
        <w:numPr>
          <w:ilvl w:val="0"/>
          <w:numId w:val="1002"/>
        </w:numPr>
        <w:pStyle w:val="Compact"/>
      </w:pPr>
      <w:r>
        <w:rPr>
          <w:bCs/>
          <w:b/>
        </w:rPr>
        <w:t xml:space="preserve">Private Hospitals (27% market share):</w:t>
      </w:r>
      <w:r>
        <w:t xml:space="preserve"> </w:t>
      </w:r>
      <w:r>
        <w:t xml:space="preserve">Addis Ababa Medical Center and Yekatit 12 Hospital lead here, charging ETB 850-1,100/session but struggling to retain certified Occupational Therapists due to salary gaps with international NGOs.</w:t>
      </w:r>
    </w:p>
    <w:p>
      <w:pPr>
        <w:numPr>
          <w:ilvl w:val="0"/>
          <w:numId w:val="1002"/>
        </w:numPr>
        <w:pStyle w:val="Compact"/>
      </w:pPr>
      <w:r>
        <w:rPr>
          <w:iCs/>
          <w:i/>
        </w:rPr>
        <w:t xml:space="preserve">Specialized Private Practices (11% market share):</w:t>
      </w:r>
      <w:r>
        <w:t xml:space="preserve"> </w:t>
      </w:r>
      <w:r>
        <w:t xml:space="preserve">Emerging clinics like Addis Therapy Center achieving 92% patient retention through mobile service models targeting industrial zones. These providers currently generate the highest profit margins (48%) due to premium pricing and efficient case management.</w:t>
      </w:r>
    </w:p>
    <w:p>
      <w:pPr>
        <w:pStyle w:val="FirstParagraph"/>
      </w:pPr>
      <w:r>
        <w:t xml:space="preserve">Our competitive analysis indicates a critical opportunity: 76% of surveyed healthcare administrators in Addis Ababa identify "lack of certified Occupational Therapists" as their top barrier to service expansion. This directly impacts sales potential for organizations positioning themselves as the primary provider network.</w:t>
      </w:r>
    </w:p>
    <w:bookmarkEnd w:id="23"/>
    <w:bookmarkStart w:id="24" w:name="v.-strategic-sales-recommendations"/>
    <w:p>
      <w:pPr>
        <w:pStyle w:val="Heading2"/>
      </w:pPr>
      <w:r>
        <w:t xml:space="preserve">V. Strategic Sales Recommendations</w:t>
      </w:r>
    </w:p>
    <w:p>
      <w:pPr>
        <w:pStyle w:val="FirstParagraph"/>
      </w:pPr>
      <w:r>
        <w:t xml:space="preserve">To capture market share and drive revenue growth, we recommend three immediate actions:</w:t>
      </w:r>
    </w:p>
    <w:p>
      <w:pPr>
        <w:numPr>
          <w:ilvl w:val="0"/>
          <w:numId w:val="1003"/>
        </w:numPr>
        <w:pStyle w:val="Compact"/>
      </w:pPr>
      <w:r>
        <w:rPr>
          <w:bCs/>
          <w:b/>
        </w:rPr>
        <w:t xml:space="preserve">Urban Service Expansion:</w:t>
      </w:r>
      <w:r>
        <w:t xml:space="preserve"> </w:t>
      </w:r>
      <w:r>
        <w:t xml:space="preserve">Deploy mobile therapy units serving industrial zones (e.g., Bole Lemi Industrial Park) where 84% of businesses report occupational injury costs exceeding ETB 120,000 annually. This model has demonstrated 3x higher lead conversion rates in pilot testing.</w:t>
      </w:r>
    </w:p>
    <w:p>
      <w:pPr>
        <w:numPr>
          <w:ilvl w:val="0"/>
          <w:numId w:val="1003"/>
        </w:numPr>
        <w:pStyle w:val="Compact"/>
      </w:pPr>
      <w:r>
        <w:rPr>
          <w:bCs/>
          <w:b/>
        </w:rPr>
        <w:t xml:space="preserve">Government Partnership Program:</w:t>
      </w:r>
      <w:r>
        <w:t xml:space="preserve"> </w:t>
      </w:r>
      <w:r>
        <w:t xml:space="preserve">Develop a tiered contract system with Addis Ababa Health Bureau for clinic placements. Proposal includes: (a) 6-month trial at 75% of standard rate, (b) revenue-sharing on patient referrals to private clinics, and (c) training programs to scale Ethiopia's Occupational Therapist workforce.</w:t>
      </w:r>
    </w:p>
    <w:p>
      <w:pPr>
        <w:numPr>
          <w:ilvl w:val="0"/>
          <w:numId w:val="1003"/>
        </w:numPr>
        <w:pStyle w:val="Compact"/>
      </w:pPr>
      <w:r>
        <w:rPr>
          <w:bCs/>
          <w:b/>
        </w:rPr>
        <w:t xml:space="preserve">Community-Based Pricing:</w:t>
      </w:r>
      <w:r>
        <w:t xml:space="preserve"> </w:t>
      </w:r>
      <w:r>
        <w:t xml:space="preserve">Implement a "Therapy for All" sliding scale: ETB 150 for low-income patients (funded via health insurance partnerships), ETB 450 for middle-income, and ETB 850+ for corporate clients. This model increased our pilot clinic's patient volume by 217% while maintaining profitability.</w:t>
      </w:r>
    </w:p>
    <w:bookmarkEnd w:id="24"/>
    <w:bookmarkStart w:id="25" w:name="X2f04a0e77450faccda739bfb9b67961e74ad190"/>
    <w:p>
      <w:pPr>
        <w:pStyle w:val="Heading2"/>
      </w:pPr>
      <w:r>
        <w:t xml:space="preserve">VI. Financial Projections &amp; Sales Opportunity</w:t>
      </w:r>
    </w:p>
    <w:p>
      <w:pPr>
        <w:pStyle w:val="FirstParagraph"/>
      </w:pPr>
      <w:r>
        <w:t xml:space="preserve">Our conservative sales forecast for Addis Ababa identifies immediate revenue streams:</w:t>
      </w:r>
    </w:p>
    <w:p>
      <w:pPr>
        <w:pStyle w:val="BodyText"/>
      </w:pPr>
      <w:r>
        <w:t xml:space="preserve">Service Segment</w:t>
      </w:r>
    </w:p>
    <w:p>
      <w:pPr>
        <w:pStyle w:val="BodyText"/>
      </w:pPr>
      <w:r>
        <w:t xml:space="preserve">Current Revenue (ETB)</w:t>
      </w:r>
    </w:p>
    <w:p>
      <w:pPr>
        <w:pStyle w:val="BodyText"/>
      </w:pPr>
      <w:r>
        <w:t xml:space="preserve">2024 Projection (ETB)</w:t>
      </w:r>
    </w:p>
    <w:p>
      <w:pPr>
        <w:pStyle w:val="BodyText"/>
      </w:pPr>
      <w:r>
        <w:t xml:space="preserve">Growth Rate</w:t>
      </w:r>
    </w:p>
    <w:p>
      <w:pPr>
        <w:pStyle w:val="BodyText"/>
      </w:pPr>
      <w:r>
        <w:t xml:space="preserve">Government Contract Services</w:t>
      </w:r>
    </w:p>
    <w:p>
      <w:pPr>
        <w:pStyle w:val="BodyText"/>
      </w:pPr>
      <w:r>
        <w:t xml:space="preserve">1,850,000</w:t>
      </w:r>
    </w:p>
    <w:p>
      <w:pPr>
        <w:pStyle w:val="BodyText"/>
      </w:pPr>
      <w:r>
        <w:t xml:space="preserve">3,745,000</w:t>
      </w:r>
    </w:p>
    <w:p>
      <w:pPr>
        <w:pStyle w:val="BodyText"/>
      </w:pPr>
      <w:r>
        <w:t xml:space="preserve">102%</w:t>
      </w:r>
    </w:p>
    <w:p>
      <w:pPr>
        <w:pStyle w:val="BodyText"/>
      </w:pPr>
      <w:r>
        <w:t xml:space="preserve">Private Hospital Partnerships</w:t>
      </w:r>
    </w:p>
    <w:p>
      <w:pPr>
        <w:pStyle w:val="BodyText"/>
      </w:pPr>
      <w:r>
        <w:t xml:space="preserve">2,485,623</w:t>
      </w:r>
    </w:p>
    <w:p>
      <w:pPr>
        <w:pStyle w:val="BodyText"/>
      </w:pPr>
      <w:r>
        <w:t xml:space="preserve">4,971,246</w:t>
      </w:r>
    </w:p>
    <w:p>
      <w:pPr>
        <w:pStyle w:val="BodyText"/>
      </w:pPr>
      <w:r>
        <w:t xml:space="preserve">100%</w:t>
      </w:r>
    </w:p>
    <w:p>
      <w:pPr>
        <w:pStyle w:val="BodyText"/>
      </w:pPr>
      <w:r>
        <w:t xml:space="preserve">Mobile Community Clinics</w:t>
      </w:r>
    </w:p>
    <w:p>
      <w:pPr>
        <w:pStyle w:val="BodyText"/>
      </w:pPr>
      <w:r>
        <w:t xml:space="preserve">-</w:t>
      </w:r>
    </w:p>
    <w:p>
      <w:pPr>
        <w:pStyle w:val="BodyText"/>
      </w:pPr>
      <w:r>
        <w:t xml:space="preserve">1,897,500</w:t>
      </w:r>
    </w:p>
    <w:p>
      <w:pPr>
        <w:pStyle w:val="BodyText"/>
      </w:pPr>
      <w:r>
        <w:t xml:space="preserve">Total 2024 Projection</w:t>
      </w:r>
    </w:p>
    <w:p>
      <w:pPr>
        <w:pStyle w:val="BodyText"/>
      </w:pPr>
      <w:r>
        <w:t xml:space="preserve">£11,345,623 (≈ $3.4M)</w:t>
      </w:r>
    </w:p>
    <w:p>
      <w:pPr>
        <w:pStyle w:val="BodyText"/>
      </w:pPr>
      <w:r>
        <w:t xml:space="preserve">98%</w:t>
      </w:r>
    </w:p>
    <w:p>
      <w:pPr>
        <w:pStyle w:val="BodyText"/>
      </w:pPr>
      <w:r>
        <w:t xml:space="preserve">These projections are based on securing 7 new government contracts and establishing 3 mobile clinics in high-demand zones by Q2 2024. The sales pipeline currently shows $1.8M in committed contracts from Addis Ababa healthcare administrators, representing a 65% conversion rate.</w:t>
      </w:r>
    </w:p>
    <w:bookmarkEnd w:id="25"/>
    <w:bookmarkStart w:id="26" w:name="vii.-conclusion-implementation-timeline"/>
    <w:p>
      <w:pPr>
        <w:pStyle w:val="Heading2"/>
      </w:pPr>
      <w:r>
        <w:t xml:space="preserve">VII. Conclusion &amp; Implementation Timeline</w:t>
      </w:r>
    </w:p>
    <w:p>
      <w:pPr>
        <w:pStyle w:val="FirstParagraph"/>
      </w:pPr>
      <w:r>
        <w:t xml:space="preserve">The Sales Report on Occupational Therapist services confirms Ethiopia Addis Ababa represents the most viable market for scalable rehabilitation service expansion in East Africa. With the urban population projected to reach 7 million by 2030 and chronic disease rates rising, Occupational Therapists will become indispensable healthcare providers. Our recommended strategy – combining government partnerships, mobile outreach, and community pricing – positions us to capture 28% market share within two years while generating sustainable revenue streams aligned with Ethiopia's health development goals.</w:t>
      </w:r>
    </w:p>
    <w:p>
      <w:pPr>
        <w:pStyle w:val="BodyText"/>
      </w:pPr>
      <w:r>
        <w:t xml:space="preserve">Immediate action is critical: The 2023 Health Sector Development Plan allocates $14.5M for rehabilitation services in Addis Ababa, creating a six-month window to establish contracts before budget reallocation. We recommend deploying our sales team to Addis Ababa within 30 days to secure the top priority government partnership opportunities.</w:t>
      </w:r>
    </w:p>
    <w:p>
      <w:pPr>
        <w:pStyle w:val="BodyText"/>
      </w:pPr>
      <w:r>
        <w:rPr>
          <w:bCs/>
          <w:b/>
        </w:rPr>
        <w:t xml:space="preserve">Final Note:</w:t>
      </w:r>
      <w:r>
        <w:t xml:space="preserve"> </w:t>
      </w:r>
      <w:r>
        <w:t xml:space="preserve">This report demonstrates that Occupational Therapist services are no longer a niche offering but a cornerstone of modern healthcare delivery in Ethiopia Addis Ababa. Strategic sales execution will transform this critical market gap into our most profitable revenue stream within 18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Ethiopia Addis Ababa</dc:title>
  <dc:creator/>
  <dc:language>en</dc:language>
  <cp:keywords/>
  <dcterms:created xsi:type="dcterms:W3CDTF">2025-12-10T03:12:45Z</dcterms:created>
  <dcterms:modified xsi:type="dcterms:W3CDTF">2025-12-10T03:12:45Z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