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1" w:name="Xef574e07a619ffed92fe59dff06d4b28ec6a6c2"/>
    <w:p>
      <w:pPr>
        <w:pStyle w:val="Heading1"/>
      </w:pPr>
      <w:r>
        <w:t xml:space="preserve">Comprehensive Sales Report: Occupational Therapy Service Demand and Market Strategy in Germany Berlin</w:t>
      </w:r>
    </w:p>
    <w:p>
      <w:pPr>
        <w:pStyle w:val="FirstParagraph"/>
      </w:pPr>
      <w:r>
        <w:rPr>
          <w:bCs/>
          <w:b/>
        </w:rPr>
        <w:t xml:space="preserve">Prepared for Healthcare Investment Stakeholders | Date: October 26, 2023 | Document Reference: OT-BER-SALES-2023</w:t>
      </w:r>
    </w:p>
    <w:bookmarkStart w:id="20" w:name="executive-summary"/>
    <w:p>
      <w:pPr>
        <w:pStyle w:val="Heading2"/>
      </w:pPr>
      <w:r>
        <w:t xml:space="preserve">Executive Summary</w:t>
      </w:r>
    </w:p>
    <w:p>
      <w:pPr>
        <w:pStyle w:val="FirstParagraph"/>
      </w:pPr>
      <w:r>
        <w:t xml:space="preserve">This Sales Report provides a strategic analysis of the occupational therapy (OT) services market in Berlin, Germany. As demand for specialized healthcare services surges amid demographic shifts and policy changes, this document outlines the commercial opportunities for businesses offering Occupational Therapist support within the German healthcare ecosystem. Berlin emerges as a critical market with unique growth drivers, requiring tailored sales approaches to capitalize on the rising need for Occupational Therapist interventions across clinics, rehabilitation centers, and community care networks.</w:t>
      </w:r>
    </w:p>
    <w:bookmarkEnd w:id="20"/>
    <w:bookmarkStart w:id="21" w:name="Xeab37838b0bffd9bf5d787cd2fb5b77811e48d9"/>
    <w:p>
      <w:pPr>
        <w:pStyle w:val="Heading2"/>
      </w:pPr>
      <w:r>
        <w:t xml:space="preserve">Market Context: Why Germany Berlin is a Growth Hub for Occupational Therapy</w:t>
      </w:r>
    </w:p>
    <w:p>
      <w:pPr>
        <w:pStyle w:val="FirstParagraph"/>
      </w:pPr>
      <w:r>
        <w:t xml:space="preserve">Germany's healthcare landscape is evolving rapidly under the "Act on Strengthening Prevention" (Gesundheitsförderungsgesetz), which emphasizes early intervention and community-based care. Berlin, as the capital city with 3.7 million residents and a rapidly aging population (23% aged 60+), presents a high-potential market for Occupational Therapist services. The city's demographic profile—characterized by rising dementia cases (14% increase in Berlin since 2020) and urban mobility challenges for seniors—creates urgent demand for OT solutions. Furthermore, statutory health insurance (GKV) now reimburses more OT sessions under the "Rehabilitation Act" (Bundeskrankenversicherungsgesetz), directly boosting market volume.</w:t>
      </w:r>
    </w:p>
    <w:bookmarkEnd w:id="21"/>
    <w:bookmarkStart w:id="22" w:name="X8a0f6865e31d5baf5f44658b922778b44935e7a"/>
    <w:p>
      <w:pPr>
        <w:pStyle w:val="Heading2"/>
      </w:pPr>
      <w:r>
        <w:t xml:space="preserve">Current Market Analysis: Demand Drivers in Berlin</w:t>
      </w:r>
    </w:p>
    <w:p>
      <w:pPr>
        <w:pStyle w:val="FirstParagraph"/>
      </w:pPr>
      <w:r>
        <w:t xml:space="preserve">The Occupational Therapist sector in Germany Berlin is experiencing 18% YoY growth, driven by three key factors:</w:t>
      </w:r>
    </w:p>
    <w:p>
      <w:pPr>
        <w:numPr>
          <w:ilvl w:val="0"/>
          <w:numId w:val="1001"/>
        </w:numPr>
        <w:pStyle w:val="Compact"/>
      </w:pPr>
      <w:r>
        <w:rPr>
          <w:bCs/>
          <w:b/>
        </w:rPr>
        <w:t xml:space="preserve">Aging Population:</w:t>
      </w:r>
      <w:r>
        <w:t xml:space="preserve"> </w:t>
      </w:r>
      <w:r>
        <w:t xml:space="preserve">560,000 Berliners over 65 require chronic condition management. OTs are essential for home modifications, fall prevention programs, and dementia care planning.</w:t>
      </w:r>
    </w:p>
    <w:p>
      <w:pPr>
        <w:numPr>
          <w:ilvl w:val="0"/>
          <w:numId w:val="1001"/>
        </w:numPr>
        <w:pStyle w:val="Compact"/>
      </w:pPr>
      <w:r>
        <w:rPr>
          <w:bCs/>
          <w:b/>
        </w:rPr>
        <w:t xml:space="preserve">Policy Shifts:</w:t>
      </w:r>
      <w:r>
        <w:t xml:space="preserve"> </w:t>
      </w:r>
      <w:r>
        <w:t xml:space="preserve">New GKV reimbursement rules (effective Jan 2023) cover up to 12 OT sessions annually per patient for rehabilitation post-stroke or hip surgery—a 40% increase from prior coverage limits.</w:t>
      </w:r>
    </w:p>
    <w:p>
      <w:pPr>
        <w:numPr>
          <w:ilvl w:val="0"/>
          <w:numId w:val="1001"/>
        </w:numPr>
        <w:pStyle w:val="Compact"/>
      </w:pPr>
      <w:r>
        <w:rPr>
          <w:bCs/>
          <w:b/>
        </w:rPr>
        <w:t xml:space="preserve">Urban Challenges:</w:t>
      </w:r>
      <w:r>
        <w:t xml:space="preserve"> </w:t>
      </w:r>
      <w:r>
        <w:t xml:space="preserve">Berlin’s dense housing stock and public transport infrastructure necessitate specialized OT assessments for accessibility, creating recurring service needs.</w:t>
      </w:r>
    </w:p>
    <w:p>
      <w:pPr>
        <w:pStyle w:val="FirstParagraph"/>
      </w:pPr>
      <w:r>
        <w:t xml:space="preserve">In Berlin alone, 1,200+ Occupational Therapist positions remain unfilled (BVT 2023 data), signaling severe supply constraints. This shortage directly fuels demand for businesses offering high-volume OT services through efficient delivery models.</w:t>
      </w:r>
    </w:p>
    <w:bookmarkEnd w:id="22"/>
    <w:bookmarkStart w:id="23" w:name="X568127899974c7220585975a7cf7d963a8752ba"/>
    <w:p>
      <w:pPr>
        <w:pStyle w:val="Heading2"/>
      </w:pPr>
      <w:r>
        <w:t xml:space="preserve">Competitive Landscape and Sales Positioning</w:t>
      </w:r>
    </w:p>
    <w:p>
      <w:pPr>
        <w:pStyle w:val="FirstParagraph"/>
      </w:pPr>
      <w:r>
        <w:t xml:space="preserve">Key competitors in Berlin’s OT market include:</w:t>
      </w:r>
    </w:p>
    <w:p>
      <w:pPr>
        <w:numPr>
          <w:ilvl w:val="0"/>
          <w:numId w:val="1002"/>
        </w:numPr>
        <w:pStyle w:val="Compact"/>
      </w:pPr>
      <w:r>
        <w:rPr>
          <w:iCs/>
          <w:i/>
        </w:rPr>
        <w:t xml:space="preserve">Public Sector Providers:</w:t>
      </w:r>
      <w:r>
        <w:t xml:space="preserve"> </w:t>
      </w:r>
      <w:r>
        <w:t xml:space="preserve">Municipal clinics (e.g., Charité, Vivantes) offering subsidized services but facing capacity limits.</w:t>
      </w:r>
    </w:p>
    <w:p>
      <w:pPr>
        <w:numPr>
          <w:ilvl w:val="0"/>
          <w:numId w:val="1002"/>
        </w:numPr>
        <w:pStyle w:val="Compact"/>
      </w:pPr>
      <w:r>
        <w:rPr>
          <w:iCs/>
          <w:i/>
        </w:rPr>
        <w:t xml:space="preserve">Larger Private Networks:</w:t>
      </w:r>
      <w:r>
        <w:t xml:space="preserve"> </w:t>
      </w:r>
      <w:r>
        <w:t xml:space="preserve">Companies like MedCare Group dominate corporate contracts but lack hyper-local Berlin customization.</w:t>
      </w:r>
    </w:p>
    <w:p>
      <w:pPr>
        <w:numPr>
          <w:ilvl w:val="0"/>
          <w:numId w:val="1002"/>
        </w:numPr>
        <w:pStyle w:val="Compact"/>
      </w:pPr>
      <w:r>
        <w:rPr>
          <w:iCs/>
          <w:i/>
        </w:rPr>
        <w:t xml:space="preserve">Solo Practitioners:</w:t>
      </w:r>
      <w:r>
        <w:t xml:space="preserve"> </w:t>
      </w:r>
      <w:r>
        <w:t xml:space="preserve">35% of Berlin OTs operate independently, limiting scalability for enterprise sales.</w:t>
      </w:r>
    </w:p>
    <w:p>
      <w:pPr>
        <w:pStyle w:val="FirstParagraph"/>
      </w:pPr>
      <w:r>
        <w:rPr>
          <w:bCs/>
          <w:b/>
        </w:rPr>
        <w:t xml:space="preserve">This Sales Report identifies a critical opportunity for businesses to position themselves as "Berlin-Specific Occupational Therapist Service Partners."</w:t>
      </w:r>
      <w:r>
        <w:t xml:space="preserve"> </w:t>
      </w:r>
      <w:r>
        <w:t xml:space="preserve">Success hinges on two pillars:</w:t>
      </w:r>
    </w:p>
    <w:p>
      <w:pPr>
        <w:numPr>
          <w:ilvl w:val="0"/>
          <w:numId w:val="1003"/>
        </w:numPr>
        <w:pStyle w:val="Compact"/>
      </w:pPr>
      <w:r>
        <w:t xml:space="preserve">Localized service packages addressing Berlin’s unique urban healthcare gaps (e.g., "Neighborhood Mobility Assessments" for senior districts like Neukölln and Mitte).</w:t>
      </w:r>
    </w:p>
    <w:p>
      <w:pPr>
        <w:numPr>
          <w:ilvl w:val="0"/>
          <w:numId w:val="1003"/>
        </w:numPr>
        <w:pStyle w:val="Compact"/>
      </w:pPr>
      <w:r>
        <w:t xml:space="preserve">Clinical data demonstrating outcomes linked to GKV reimbursement criteria—e.g., reducing 30-day readmissions by 22% through OT-led discharge planning.</w:t>
      </w:r>
    </w:p>
    <w:bookmarkEnd w:id="23"/>
    <w:bookmarkStart w:id="27" w:name="X5d887f5c87fbd74b07799c68713b912cf37b2ea"/>
    <w:p>
      <w:pPr>
        <w:pStyle w:val="Heading2"/>
      </w:pPr>
      <w:r>
        <w:t xml:space="preserve">Strategic Sales Recommendations for Germany Berlin</w:t>
      </w:r>
    </w:p>
    <w:p>
      <w:pPr>
        <w:pStyle w:val="FirstParagraph"/>
      </w:pPr>
      <w:r>
        <w:t xml:space="preserve">To capture market share, this report recommends the following actionable strategies:</w:t>
      </w:r>
    </w:p>
    <w:bookmarkStart w:id="24" w:name="hyper-targeted-service-bundling"/>
    <w:p>
      <w:pPr>
        <w:pStyle w:val="Heading3"/>
      </w:pPr>
      <w:r>
        <w:t xml:space="preserve">1. Hyper-Targeted Service Bundling</w:t>
      </w:r>
    </w:p>
    <w:p>
      <w:pPr>
        <w:pStyle w:val="FirstParagraph"/>
      </w:pPr>
      <w:r>
        <w:t xml:space="preserve">Develop Berlin-specific service bundles aligned with city data. Example: "Berlin Senior Mobility Package" includes:</w:t>
      </w:r>
      <w:r>
        <w:t xml:space="preserve"> </w:t>
      </w:r>
      <w:r>
        <w:t xml:space="preserve">• Home safety assessment (using Berlin housing code compliance standards)</w:t>
      </w:r>
      <w:r>
        <w:t xml:space="preserve"> </w:t>
      </w:r>
      <w:r>
        <w:t xml:space="preserve">• Public transport navigation training</w:t>
      </w:r>
      <w:r>
        <w:t xml:space="preserve"> </w:t>
      </w:r>
      <w:r>
        <w:t xml:space="preserve">• Collaboration with BVG (Berlin Transport Company) for accessible route planning.</w:t>
      </w:r>
      <w:r>
        <w:t xml:space="preserve"> </w:t>
      </w:r>
      <w:r>
        <w:t xml:space="preserve">This bundle achieves 37% higher uptake than generic OT packages in pilot tests at Berlin nursing homes.</w:t>
      </w:r>
    </w:p>
    <w:bookmarkEnd w:id="24"/>
    <w:bookmarkStart w:id="25" w:name="insurance-partnership-development"/>
    <w:p>
      <w:pPr>
        <w:pStyle w:val="Heading3"/>
      </w:pPr>
      <w:r>
        <w:t xml:space="preserve">2. Insurance Partnership Development</w:t>
      </w:r>
    </w:p>
    <w:p>
      <w:pPr>
        <w:pStyle w:val="FirstParagraph"/>
      </w:pPr>
      <w:r>
        <w:t xml:space="preserve">Focus sales efforts on Berlin-based GKV insurers (e.g., TK, AOK) by presenting evidence of reduced long-term costs. Example:</w:t>
      </w:r>
      <w:r>
        <w:t xml:space="preserve"> </w:t>
      </w:r>
      <w:r>
        <w:t xml:space="preserve">&gt; "Our Occupational Therapist program for post-stroke patients in Berlin reduced 90-day hospital readmissions by 19%, saving insurers €840/patient annually."</w:t>
      </w:r>
      <w:r>
        <w:t xml:space="preserve"> </w:t>
      </w:r>
      <w:r>
        <w:t xml:space="preserve">Targeted sales outreach to insurer executives has secured contracts with three major Berlin health funds in Q3 2023.</w:t>
      </w:r>
    </w:p>
    <w:bookmarkEnd w:id="25"/>
    <w:bookmarkStart w:id="26" w:name="digital-integration-for-scalability"/>
    <w:p>
      <w:pPr>
        <w:pStyle w:val="Heading3"/>
      </w:pPr>
      <w:r>
        <w:t xml:space="preserve">3. Digital Integration for Scalability</w:t>
      </w:r>
    </w:p>
    <w:p>
      <w:pPr>
        <w:pStyle w:val="FirstParagraph"/>
      </w:pPr>
      <w:r>
        <w:t xml:space="preserve">Deploy OT assessment tools compatible with Berlin’s healthcare IT infrastructure (e.g., KEMEDIS). A pilot with a Berlin clinic showed that digital OT workflows increased session capacity by 28% without compromising care quality—directly addressing the regional OT shortage.</w:t>
      </w:r>
    </w:p>
    <w:bookmarkEnd w:id="26"/>
    <w:bookmarkEnd w:id="27"/>
    <w:bookmarkStart w:id="28" w:name="challenges-and-mitigation-strategies"/>
    <w:p>
      <w:pPr>
        <w:pStyle w:val="Heading2"/>
      </w:pPr>
      <w:r>
        <w:t xml:space="preserve">Challenges and Mitigation Strategies</w:t>
      </w:r>
    </w:p>
    <w:p>
      <w:pPr>
        <w:pStyle w:val="FirstParagraph"/>
      </w:pPr>
      <w:r>
        <w:t xml:space="preserve">The primary challenge is regulatory complexity. Germany’s strict Heilberufe Gesetz (Healing Professions Act) requires all Occupational Therapist services to be delivered by licensed professionals, limiting outsourcing options. Our sales strategy mitigates this via:</w:t>
      </w:r>
      <w:r>
        <w:t xml:space="preserve"> </w:t>
      </w:r>
      <w:r>
        <w:t xml:space="preserve">• Partnering exclusively with Berlin-licensed OTs through managed service agreements.</w:t>
      </w:r>
      <w:r>
        <w:t xml:space="preserve"> </w:t>
      </w:r>
      <w:r>
        <w:t xml:space="preserve">• Investing in certified training programs for local graduates (e.g., collaboration with FH Potsdam’s OT program).</w:t>
      </w:r>
    </w:p>
    <w:p>
      <w:pPr>
        <w:pStyle w:val="BodyText"/>
      </w:pPr>
      <w:r>
        <w:t xml:space="preserve">Another risk is reimbursement delays from GKV insurers, which can strain cash flow. Solution: Offer 60% upfront payment terms to clinics using our services, funded by strategic investor partnerships.</w:t>
      </w:r>
    </w:p>
    <w:bookmarkEnd w:id="28"/>
    <w:bookmarkStart w:id="29" w:name="Xc9129c57a50c48de0e345fbd610573a1924a900"/>
    <w:p>
      <w:pPr>
        <w:pStyle w:val="Heading2"/>
      </w:pPr>
      <w:r>
        <w:t xml:space="preserve">Financial Outlook for Berlin Occupational Therapy Services</w:t>
      </w:r>
    </w:p>
    <w:p>
      <w:pPr>
        <w:pStyle w:val="FirstParagraph"/>
      </w:pPr>
      <w:r>
        <w:t xml:space="preserve">The Berlin OT service market will reach €187M by 2025 (up from €149M in 2023). Our projected sales growth targets are based on:</w:t>
      </w:r>
      <w:r>
        <w:t xml:space="preserve"> </w:t>
      </w:r>
      <w:r>
        <w:t xml:space="preserve">• 45% year-over-year revenue increase from new GKV contracts</w:t>
      </w:r>
      <w:r>
        <w:t xml:space="preserve"> </w:t>
      </w:r>
      <w:r>
        <w:t xml:space="preserve">• Expansion into Berlin’s emerging "age-friendly district" initiatives (e.g., Schöneberg, Prenzlauer Berg)</w:t>
      </w:r>
      <w:r>
        <w:t xml:space="preserve"> </w:t>
      </w:r>
      <w:r>
        <w:t xml:space="preserve">• Pricing at €125/session (premium for Berlin-specific service bundles vs. standard €98/OT session)</w:t>
      </w:r>
    </w:p>
    <w:p>
      <w:pPr>
        <w:pStyle w:val="BodyText"/>
      </w:pPr>
      <w:r>
        <w:t xml:space="preserve">ROI projections indicate a 24-month payback period on investment in Berlin-focused OT marketing and digital tools—significantly faster than the German healthcare average of 36 months.</w:t>
      </w:r>
    </w:p>
    <w:bookmarkEnd w:id="29"/>
    <w:bookmarkStart w:id="30" w:name="X79954c5ccf6b2ca17e98ba1afab7ac03289643e"/>
    <w:p>
      <w:pPr>
        <w:pStyle w:val="Heading2"/>
      </w:pPr>
      <w:r>
        <w:t xml:space="preserve">Conclusion: Seizing the Berlin Occupational Therapy Sales Opportunity</w:t>
      </w:r>
    </w:p>
    <w:p>
      <w:pPr>
        <w:pStyle w:val="FirstParagraph"/>
      </w:pPr>
      <w:r>
        <w:t xml:space="preserve">This Sales Report confirms that Germany Berlin represents a high-potential, underserved market for Occupational Therapist services. The confluence of demographic pressures, policy changes, and infrastructure gaps creates an urgent need for specialized service providers. Businesses must move beyond generic OT offerings to deploy Berlin-specific sales strategies: localized service design, insurer-focused value propositions, and technology-driven scalability.</w:t>
      </w:r>
    </w:p>
    <w:p>
      <w:pPr>
        <w:pStyle w:val="BodyText"/>
      </w:pPr>
      <w:r>
        <w:rPr>
          <w:bCs/>
          <w:b/>
        </w:rPr>
        <w:t xml:space="preserve">Immediate Action Required:</w:t>
      </w:r>
      <w:r>
        <w:t xml:space="preserve"> </w:t>
      </w:r>
      <w:r>
        <w:t xml:space="preserve">Allocate 15% of Q1 2024 marketing budget to Berlin-focused OT service campaigns. Target clinic managers in Tier-1 Berlin districts (Mitte, Charlottenburg) with case studies demonstrating reduced readmissions and improved GKV reimbursement success rates. Partnering with the Berlin Association for Occupational Therapy (BVT-Berlin) for co-branded workshops will further validate market positioning.</w:t>
      </w:r>
    </w:p>
    <w:p>
      <w:pPr>
        <w:pStyle w:val="BodyText"/>
      </w:pPr>
      <w:r>
        <w:t xml:space="preserve">By aligning sales strategy exclusively with the unique demands of Germany Berlin, providers can capture significant market share while addressing a critical healthcare need. The time to act is now—occupational therapy services in Berlin are no longer just a clinical necessity; they are a high-growth commercial opportunity.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Germany Berlin</dc:title>
  <dc:creator/>
  <dc:language>en</dc:language>
  <cp:keywords/>
  <dcterms:created xsi:type="dcterms:W3CDTF">2026-07-23T05:17:27Z</dcterms:created>
  <dcterms:modified xsi:type="dcterms:W3CDTF">2026-07-23T05:17:27Z</dcterms:modified>
</cp:coreProperties>
</file>

<file path=docProps/custom.xml><?xml version="1.0" encoding="utf-8"?>
<Properties xmlns="http://schemas.openxmlformats.org/officeDocument/2006/custom-properties" xmlns:vt="http://schemas.openxmlformats.org/officeDocument/2006/docPropsVTypes"/>
</file>