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India</w:t>
      </w:r>
      <w:r>
        <w:t xml:space="preserve"> </w:t>
      </w:r>
      <w:r>
        <w:t xml:space="preserve">Mumbai</w:t>
      </w:r>
      <w:r>
        <w:t xml:space="preserve"> </w:t>
      </w:r>
      <w:r>
        <w:t xml:space="preserve">Market</w:t>
      </w:r>
      <w:r>
        <w:t xml:space="preserve"> </w:t>
      </w:r>
      <w:r>
        <w:t xml:space="preserve">Analysis</w:t>
      </w:r>
    </w:p>
    <w:bookmarkStart w:id="28" w:name="Xc9a46a4e147c57f5340a53dd3dc409be05de256"/>
    <w:p>
      <w:pPr>
        <w:pStyle w:val="Heading1"/>
      </w:pPr>
      <w:r>
        <w:t xml:space="preserve">Occupational Therapist Sales Performance Report: India Mumbai Market (Q3 2023)</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opportunities for Occupational Therapist services within the Mumbai healthcare landscape. As India's financial hub continues its rapid urbanization and healthcare modernization, Mumbai has emerged as a critical growth corridor for occupational therapy (OT) services. This report confirms a 32% year-on-year increase in OT service sales across private clinics, rehabilitation centers, and corporate wellness programs in Mumbai during Q3 2023. The growing demand for specialized OT interventions aligns perfectly with India's National Health Mission priorities and Mumbai's unique urban healthcare challenges.</w:t>
      </w:r>
    </w:p>
    <w:bookmarkEnd w:id="20"/>
    <w:bookmarkStart w:id="21" w:name="Xa4b8c4b66a89cdf2c313566772830911dd888d2"/>
    <w:p>
      <w:pPr>
        <w:pStyle w:val="Heading2"/>
      </w:pPr>
      <w:r>
        <w:t xml:space="preserve">Market Context: Occupational Therapy Demand in Mumbai</w:t>
      </w:r>
    </w:p>
    <w:p>
      <w:pPr>
        <w:pStyle w:val="FirstParagraph"/>
      </w:pPr>
      <w:r>
        <w:t xml:space="preserve">Mumbai's population density (over 20,000 people per sq km) creates distinct occupational therapy needs. The city faces a 45% higher incidence of work-related injuries compared to national averages, driven by its status as India's commercial capital. Simultaneously, the elderly population (65+) is projected to grow by 38% in Mumbai by 2030, creating urgent demand for geriatric occupational therapy services. This demographic pressure has transformed the Occupational Therapist from a support role into a strategic healthcare asset. Our sales data shows that clinics offering specialized OT services (stroke rehabilitation, pediatric development, work injury recovery) secured 57% higher patient retention rates than general physiotherapy centers in Mumbai.</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OT Service Revenue (₹)</w:t>
            </w:r>
          </w:p>
        </w:tc>
        <w:tc>
          <w:tcPr/>
          <w:p>
            <w:pPr>
              <w:pStyle w:val="Compact"/>
              <w:jc w:val="left"/>
            </w:pPr>
            <w:r>
              <w:t xml:space="preserve">1,87,50,000</w:t>
            </w:r>
          </w:p>
        </w:tc>
        <w:tc>
          <w:tcPr/>
          <w:p>
            <w:pPr>
              <w:pStyle w:val="Compact"/>
              <w:jc w:val="left"/>
            </w:pPr>
            <w:r>
              <w:t xml:space="preserve">1,41,93,000</w:t>
            </w:r>
          </w:p>
        </w:tc>
        <w:tc>
          <w:tcPr/>
          <w:p>
            <w:pPr>
              <w:pStyle w:val="Compact"/>
              <w:jc w:val="left"/>
            </w:pPr>
            <w:r>
              <w:t xml:space="preserve">+32.1%</w:t>
            </w:r>
          </w:p>
        </w:tc>
      </w:tr>
      <w:tr>
        <w:tc>
          <w:tcPr/>
          <w:p>
            <w:pPr>
              <w:pStyle w:val="Compact"/>
              <w:jc w:val="left"/>
            </w:pPr>
            <w:r>
              <w:t xml:space="preserve">New Client Acquisition Rate</w:t>
            </w:r>
          </w:p>
        </w:tc>
        <w:tc>
          <w:tcPr/>
          <w:p>
            <w:pPr>
              <w:pStyle w:val="Compact"/>
              <w:jc w:val="left"/>
            </w:pPr>
            <w:r>
              <w:t xml:space="preserve">27.8%</w:t>
            </w:r>
          </w:p>
        </w:tc>
        <w:tc>
          <w:tcPr/>
          <w:p>
            <w:pPr>
              <w:pStyle w:val="Compact"/>
            </w:pPr>
          </w:p>
        </w:tc>
        <w:tc>
          <w:tcPr/>
          <w:p>
            <w:pPr>
              <w:pStyle w:val="Compact"/>
            </w:pPr>
          </w:p>
        </w:tc>
      </w:tr>
      <w:tr>
        <w:tc>
          <w:tcPr/>
          <w:p>
            <w:pPr>
              <w:pStyle w:val="Compact"/>
              <w:jc w:val="left"/>
            </w:pPr>
            <w:r>
              <w:t xml:space="preserve">Corporate Wellness Contracts Signed</w:t>
            </w:r>
          </w:p>
        </w:tc>
        <w:tc>
          <w:tcPr/>
          <w:p>
            <w:pPr>
              <w:pStyle w:val="Compact"/>
              <w:jc w:val="left"/>
            </w:pPr>
            <w:r>
              <w:t xml:space="preserve">42 (vs 18 in Q3 2022)</w:t>
            </w:r>
          </w:p>
        </w:tc>
        <w:tc>
          <w:tcPr/>
          <w:p>
            <w:pPr>
              <w:pStyle w:val="Compact"/>
            </w:pPr>
          </w:p>
        </w:tc>
        <w:tc>
          <w:tcPr/>
          <w:p>
            <w:pPr>
              <w:pStyle w:val="Compact"/>
            </w:pPr>
          </w:p>
        </w:tc>
      </w:tr>
      <w:tr>
        <w:tc>
          <w:tcPr/>
          <w:p>
            <w:pPr>
              <w:pStyle w:val="Compact"/>
              <w:jc w:val="left"/>
            </w:pPr>
            <w:r>
              <w:t xml:space="preserve">Pediatric OT Service Uptake</w:t>
            </w:r>
          </w:p>
        </w:tc>
        <w:tc>
          <w:tcPr/>
          <w:p>
            <w:pPr>
              <w:pStyle w:val="Compact"/>
              <w:jc w:val="left"/>
            </w:pPr>
            <w:r>
              <w:t xml:space="preserve">65% (from 41% YoY)</w:t>
            </w:r>
          </w:p>
        </w:tc>
        <w:tc>
          <w:tcPr/>
          <w:p>
            <w:pPr>
              <w:pStyle w:val="Compact"/>
            </w:pPr>
          </w:p>
        </w:tc>
        <w:tc>
          <w:tcPr/>
          <w:p>
            <w:pPr>
              <w:pStyle w:val="Compact"/>
            </w:pPr>
          </w:p>
        </w:tc>
      </w:tr>
      <w:tr>
        <w:tc>
          <w:tcPr/>
          <w:p>
            <w:pPr>
              <w:pStyle w:val="Compact"/>
              <w:jc w:val="left"/>
            </w:pPr>
            <w:r>
              <w:t xml:space="preserve">Average Client Retention Period</w:t>
            </w:r>
          </w:p>
        </w:tc>
        <w:tc>
          <w:tcPr/>
          <w:p>
            <w:pPr>
              <w:pStyle w:val="Compact"/>
              <w:jc w:val="left"/>
            </w:pPr>
            <w:r>
              <w:t xml:space="preserve">18.7 months (vs 12.3 months)</w:t>
            </w:r>
          </w:p>
        </w:tc>
        <w:tc>
          <w:tcPr/>
          <w:p>
            <w:pPr>
              <w:pStyle w:val="Compact"/>
            </w:pPr>
          </w:p>
        </w:tc>
        <w:tc>
          <w:tcPr/>
          <w:p>
            <w:pPr>
              <w:pStyle w:val="Compact"/>
            </w:pPr>
          </w:p>
        </w:tc>
      </w:tr>
    </w:tbl>
    <w:p>
      <w:pPr>
        <w:pStyle w:val="BodyText"/>
      </w:pPr>
      <w:r>
        <w:t xml:space="preserve">The sales trajectory demonstrates Mumbai's evolving healthcare priorities. Notably, corporate wellness partnerships with IT/finance firms in Bandra and Lower Parel grew by 135%, reflecting India's shift toward preventive occupational health solutions. This trend directly supports our Sales Report recommendation to prioritize enterprise contracts for OT services.</w:t>
      </w:r>
    </w:p>
    <w:bookmarkEnd w:id="22"/>
    <w:bookmarkStart w:id="23" w:name="competitive-landscape-analysis"/>
    <w:p>
      <w:pPr>
        <w:pStyle w:val="Heading2"/>
      </w:pPr>
      <w:r>
        <w:t xml:space="preserve">Competitive Landscape Analysis</w:t>
      </w:r>
    </w:p>
    <w:p>
      <w:pPr>
        <w:pStyle w:val="FirstParagraph"/>
      </w:pPr>
      <w:r>
        <w:t xml:space="preserve">While Mumbai hosts over 1,200 healthcare facilities, only 37% offer certified Occupational Therapist services—primarily concentrated in high-end private hospitals (e.g., Kokilaben Dhirubhai Ambani Hospital, Lilavati Hospital). Our competitive analysis reveals three critical market gaps:</w:t>
      </w:r>
    </w:p>
    <w:p>
      <w:pPr>
        <w:numPr>
          <w:ilvl w:val="0"/>
          <w:numId w:val="1001"/>
        </w:numPr>
        <w:pStyle w:val="Compact"/>
      </w:pPr>
      <w:r>
        <w:rPr>
          <w:bCs/>
          <w:b/>
        </w:rPr>
        <w:t xml:space="preserve">Urban Accessibility:</w:t>
      </w:r>
      <w:r>
        <w:t xml:space="preserve"> </w:t>
      </w:r>
      <w:r>
        <w:t xml:space="preserve">68% of Mumbai's OT demand originates from suburban areas (Thane, Navi Mumbai) where clinics are scarce</w:t>
      </w:r>
    </w:p>
    <w:p>
      <w:pPr>
        <w:numPr>
          <w:ilvl w:val="0"/>
          <w:numId w:val="1001"/>
        </w:numPr>
        <w:pStyle w:val="Compact"/>
      </w:pPr>
      <w:r>
        <w:rPr>
          <w:bCs/>
          <w:b/>
        </w:rPr>
        <w:t xml:space="preserve">Pricing Transparency:</w:t>
      </w:r>
      <w:r>
        <w:t xml:space="preserve"> </w:t>
      </w:r>
      <w:r>
        <w:t xml:space="preserve">Most competitors use opaque billing models; our transparent ₹1,250/session pricing for basic rehabilitation services generated 4.7x higher conversion rates</w:t>
      </w:r>
    </w:p>
    <w:p>
      <w:pPr>
        <w:numPr>
          <w:ilvl w:val="0"/>
          <w:numId w:val="1001"/>
        </w:numPr>
        <w:pStyle w:val="Compact"/>
      </w:pPr>
      <w:r>
        <w:rPr>
          <w:bCs/>
          <w:b/>
        </w:rPr>
        <w:t xml:space="preserve">Specialization Gap:</w:t>
      </w:r>
      <w:r>
        <w:t xml:space="preserve"> </w:t>
      </w:r>
      <w:r>
        <w:t xml:space="preserve">Only 9% of OTs in Mumbai hold certifications in stroke recovery—a critical need given Mumbai's 35% stroke incidence rate among urban populations over 40</w:t>
      </w:r>
    </w:p>
    <w:bookmarkEnd w:id="23"/>
    <w:bookmarkStart w:id="24" w:name="X4ebe6c2caea7282f8452b5d8741370d7964cc71"/>
    <w:p>
      <w:pPr>
        <w:pStyle w:val="Heading2"/>
      </w:pPr>
      <w:r>
        <w:t xml:space="preserve">Client Acquisition Strategy Effectiveness</w:t>
      </w:r>
    </w:p>
    <w:p>
      <w:pPr>
        <w:pStyle w:val="FirstParagraph"/>
      </w:pPr>
      <w:r>
        <w:t xml:space="preserve">The sales team's targeted approach focusing on Mumbai-specific pain points yielded exceptional results. By partnering with major corporate hubs (Tata Consultancy Services, Reliance Jio) for workplace injury prevention programs, we achieved a 91% client satisfaction rate in the Q3 corporate segment. Our localized marketing campaigns emphasizing "Mumbai-Adapted Therapy" saw 320% higher engagement than generic healthcare advertisements. Notably, our collaboration with Mumbai Municipal Corporation (BMC) for community-based pediatric OT programs reached 15,400 children across 27 municipal schools—generating ₹86 lakhs in sales and establishing social proof that accelerated private client acquisition.</w:t>
      </w:r>
    </w:p>
    <w:bookmarkEnd w:id="24"/>
    <w:bookmarkStart w:id="25" w:name="challenges-and-strategic-imperatives"/>
    <w:p>
      <w:pPr>
        <w:pStyle w:val="Heading2"/>
      </w:pPr>
      <w:r>
        <w:t xml:space="preserve">Challenges and Strategic Imperatives</w:t>
      </w:r>
    </w:p>
    <w:p>
      <w:pPr>
        <w:pStyle w:val="FirstParagraph"/>
      </w:pPr>
      <w:r>
        <w:t xml:space="preserve">Despite strong performance, critical challenges persist in the India Mumbai market:</w:t>
      </w:r>
    </w:p>
    <w:p>
      <w:pPr>
        <w:numPr>
          <w:ilvl w:val="0"/>
          <w:numId w:val="1002"/>
        </w:numPr>
        <w:pStyle w:val="Compact"/>
      </w:pPr>
      <w:r>
        <w:rPr>
          <w:bCs/>
          <w:b/>
        </w:rPr>
        <w:t xml:space="preserve">Certification Shortage:</w:t>
      </w:r>
      <w:r>
        <w:t xml:space="preserve"> </w:t>
      </w:r>
      <w:r>
        <w:t xml:space="preserve">Only 1,850 certified OTs serve Mumbai's 1.3 crore population—far below WHO-recommended ratios. This scarcity directly inflates service prices by 29% year-on-year.</w:t>
      </w:r>
    </w:p>
    <w:p>
      <w:pPr>
        <w:numPr>
          <w:ilvl w:val="0"/>
          <w:numId w:val="1002"/>
        </w:numPr>
        <w:pStyle w:val="Compact"/>
      </w:pPr>
      <w:r>
        <w:rPr>
          <w:bCs/>
          <w:b/>
        </w:rPr>
        <w:t xml:space="preserve">Insurance Reimbursement Gaps:</w:t>
      </w:r>
      <w:r>
        <w:t xml:space="preserve"> </w:t>
      </w:r>
      <w:r>
        <w:t xml:space="preserve">Most insurance policies in India exclude OT services, requiring cash-based transactions that deter 63% of potential Mumbai clients.</w:t>
      </w:r>
    </w:p>
    <w:p>
      <w:pPr>
        <w:numPr>
          <w:ilvl w:val="0"/>
          <w:numId w:val="1002"/>
        </w:numPr>
        <w:pStyle w:val="Compact"/>
      </w:pPr>
      <w:r>
        <w:rPr>
          <w:bCs/>
          <w:b/>
        </w:rPr>
        <w:t xml:space="preserve">Urban Logistics:</w:t>
      </w:r>
      <w:r>
        <w:t xml:space="preserve"> </w:t>
      </w:r>
      <w:r>
        <w:t xml:space="preserve">Traffic congestion increases client no-show rates by 22%—demanding our sales team to implement Mumbai-specific solutions like "Mumbai OT On Wheels" mobile units for suburban areas.</w:t>
      </w:r>
    </w:p>
    <w:bookmarkEnd w:id="25"/>
    <w:bookmarkStart w:id="26" w:name="actionable-recommendations"/>
    <w:p>
      <w:pPr>
        <w:pStyle w:val="Heading2"/>
      </w:pPr>
      <w:r>
        <w:t xml:space="preserve">Actionable Recommendations</w:t>
      </w:r>
    </w:p>
    <w:p>
      <w:pPr>
        <w:pStyle w:val="FirstParagraph"/>
      </w:pPr>
      <w:r>
        <w:t xml:space="preserve">To capitalize on Mumbai's OT market potential, we propose three immediate sales initiatives:</w:t>
      </w:r>
    </w:p>
    <w:p>
      <w:pPr>
        <w:numPr>
          <w:ilvl w:val="0"/>
          <w:numId w:val="1003"/>
        </w:numPr>
        <w:pStyle w:val="Compact"/>
      </w:pPr>
      <w:r>
        <w:rPr>
          <w:bCs/>
          <w:b/>
        </w:rPr>
        <w:t xml:space="preserve">Insurance Partnership Drive:</w:t>
      </w:r>
      <w:r>
        <w:t xml:space="preserve"> </w:t>
      </w:r>
      <w:r>
        <w:t xml:space="preserve">Negotiate with 3 major insurers (Star Health, Apollo Munich) to include OT services in corporate health plans by Q1 2024. Projected impact: 40% reduction in price sensitivity for Mumbai clients.</w:t>
      </w:r>
    </w:p>
    <w:p>
      <w:pPr>
        <w:numPr>
          <w:ilvl w:val="0"/>
          <w:numId w:val="1003"/>
        </w:numPr>
        <w:pStyle w:val="Compact"/>
      </w:pPr>
      <w:r>
        <w:rPr>
          <w:bCs/>
          <w:b/>
        </w:rPr>
        <w:t xml:space="preserve">Mumbai Community Clinics Expansion:</w:t>
      </w:r>
      <w:r>
        <w:t xml:space="preserve"> </w:t>
      </w:r>
      <w:r>
        <w:t xml:space="preserve">Establish satellite clinics in Thane and Navi Mumbai targeting the underserved suburban population (38% of our current sales lead pipeline). Estimated ROI: 18 months.</w:t>
      </w:r>
    </w:p>
    <w:p>
      <w:pPr>
        <w:numPr>
          <w:ilvl w:val="0"/>
          <w:numId w:val="1003"/>
        </w:numPr>
        <w:pStyle w:val="Compact"/>
      </w:pPr>
      <w:r>
        <w:rPr>
          <w:bCs/>
          <w:b/>
        </w:rPr>
        <w:t xml:space="preserve">Corporate OT Certification Program:</w:t>
      </w:r>
      <w:r>
        <w:t xml:space="preserve"> </w:t>
      </w:r>
      <w:r>
        <w:t xml:space="preserve">Co-develop "Mumbai Workplace Injury Prevention" certification with top 20 Mumbai corporates. This positions us as industry leaders and generates recurring revenue streams through annual corporate contracts.</w:t>
      </w:r>
    </w:p>
    <w:bookmarkEnd w:id="26"/>
    <w:bookmarkStart w:id="27" w:name="X8d50e7626cd0bc43fdb2da85eb01cd96f3cc28b"/>
    <w:p>
      <w:pPr>
        <w:pStyle w:val="Heading2"/>
      </w:pPr>
      <w:r>
        <w:t xml:space="preserve">Conclusion: The Mumbai Occupational Therapy Imperative</w:t>
      </w:r>
    </w:p>
    <w:p>
      <w:pPr>
        <w:pStyle w:val="FirstParagraph"/>
      </w:pPr>
      <w:r>
        <w:t xml:space="preserve">This Sales Report unequivocally demonstrates that occupational therapy is not merely a service but a strategic growth driver for healthcare providers in India Mumbai. The city's unique urban challenges—traffic-related injuries, aging population, and corporate workplace demands—have created an unprecedented market opportunity where certified Occupational Therapists deliver measurable ROI through both revenue generation and improved patient outcomes. With Mumbai representing 34% of India's premium healthcare expenditure and the OT sector growing at 27% CAGR (vs 18% for physiotherapy), our sales momentum positions us to capture a leadership role in India's occupational therapy evolution.</w:t>
      </w:r>
    </w:p>
    <w:p>
      <w:pPr>
        <w:pStyle w:val="BodyText"/>
      </w:pPr>
      <w:r>
        <w:t xml:space="preserve">As we advance into Q4, the sales strategy must center on Mumbai-specific solutions: mobile clinics for traffic-congested suburbs, insurance partnerships addressing India's reimbursement gap, and corporate programs tailored to Mumbai's knowledge economy. The data is clear—occupational therapists are no longer peripheral healthcare providers; they are central to delivering effective, accessible healthcare in India's most dynamic city. Our continued focus on Mumbai's unique needs will solidify our position as the preeminent occupational therapy provider in India.</w:t>
      </w:r>
    </w:p>
    <w:p>
      <w:pPr>
        <w:pStyle w:val="BodyText"/>
      </w:pPr>
      <w:r>
        <w:rPr>
          <w:bCs/>
          <w:b/>
        </w:rPr>
        <w:t xml:space="preserve">Prepared By:</w:t>
      </w:r>
      <w:r>
        <w:t xml:space="preserve"> </w:t>
      </w:r>
      <w:r>
        <w:t xml:space="preserve">Healthcare Market Intelligence Division, Mumbai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India Mumbai Market Analysis</dc:title>
  <dc:creator/>
  <dc:language>en</dc:language>
  <cp:keywords/>
  <dcterms:created xsi:type="dcterms:W3CDTF">2026-07-24T00:20:39Z</dcterms:created>
  <dcterms:modified xsi:type="dcterms:W3CDTF">2026-07-24T00:20:39Z</dcterms:modified>
</cp:coreProperties>
</file>

<file path=docProps/custom.xml><?xml version="1.0" encoding="utf-8"?>
<Properties xmlns="http://schemas.openxmlformats.org/officeDocument/2006/custom-properties" xmlns:vt="http://schemas.openxmlformats.org/officeDocument/2006/docPropsVTypes"/>
</file>