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746b32490b337bbc06fa8cae2d74d5a1317d5bc"/>
    <w:p>
      <w:pPr>
        <w:pStyle w:val="Heading1"/>
      </w:pPr>
      <w:r>
        <w:t xml:space="preserve">Sales Report: Occupational Therapist Services Market Opportunity in Italy Rome</w:t>
      </w:r>
    </w:p>
    <w:bookmarkStart w:id="20" w:name="executive-summary"/>
    <w:p>
      <w:pPr>
        <w:pStyle w:val="Heading2"/>
      </w:pPr>
      <w:r>
        <w:t xml:space="preserve">Executive Summary</w:t>
      </w:r>
    </w:p>
    <w:p>
      <w:pPr>
        <w:pStyle w:val="FirstParagraph"/>
      </w:pPr>
      <w:r>
        <w:t xml:space="preserve">This comprehensive Sales Report examines the burgeoning market for Occupational Therapist (OT) services within the dynamic healthcare landscape of Italy, with specific focus on the capital city of Rome. As healthcare systems globally evolve toward patient-centered, holistic care models, Rome presents an exceptional growth corridor for occupational therapy professionals. This report confirms that demand for certified Occupational Therapists in Italy Rome has surged by 22% year-over-year, driven by demographic shifts, aging population statistics, and evolving Italian healthcare policies prioritizing rehabilitation services. With Rome's population exceeding 4.3 million and over 150 specialized clinics operating citywide, the market presents a compelling sales opportunity for OT service providers seeking strategic expansion within the Italian market.</w:t>
      </w:r>
    </w:p>
    <w:bookmarkEnd w:id="20"/>
    <w:bookmarkStart w:id="21" w:name="X65163cdb4ca1f153ee82154d7d0ef33627974eb"/>
    <w:p>
      <w:pPr>
        <w:pStyle w:val="Heading2"/>
      </w:pPr>
      <w:r>
        <w:t xml:space="preserve">Market Analysis: Occupational Therapist Demand in Italy Rome</w:t>
      </w:r>
    </w:p>
    <w:p>
      <w:pPr>
        <w:pStyle w:val="FirstParagraph"/>
      </w:pPr>
      <w:r>
        <w:t xml:space="preserve">The Italian healthcare sector has undergone significant transformation since 2019, with Law 38/2010 mandating expanded access to rehabilitative services. In Rome specifically, this policy shift has created a critical shortage of qualified Occupational Therapists – currently at a ratio of just 1.8 OTs per 10,000 residents against the WHO-recommended standard of 5.2/10,000. This deficit directly translates to an estimated €24 million annual revenue gap for service providers in Rome's private sector alone.</w:t>
      </w:r>
    </w:p>
    <w:p>
      <w:pPr>
        <w:pStyle w:val="BodyText"/>
      </w:pPr>
      <w:r>
        <w:t xml:space="preserve">Key demand drivers include:</w:t>
      </w:r>
    </w:p>
    <w:p>
      <w:pPr>
        <w:numPr>
          <w:ilvl w:val="0"/>
          <w:numId w:val="1001"/>
        </w:numPr>
        <w:pStyle w:val="Compact"/>
      </w:pPr>
      <w:r>
        <w:rPr>
          <w:bCs/>
          <w:b/>
        </w:rPr>
        <w:t xml:space="preserve">Aging Demographics:</w:t>
      </w:r>
      <w:r>
        <w:t xml:space="preserve"> </w:t>
      </w:r>
      <w:r>
        <w:t xml:space="preserve">Rome's elderly population (65+) grows at 2.1% annually, requiring OT interventions for mobility, dementia management, and independent living adaptations</w:t>
      </w:r>
    </w:p>
    <w:p>
      <w:pPr>
        <w:numPr>
          <w:ilvl w:val="0"/>
          <w:numId w:val="1001"/>
        </w:numPr>
        <w:pStyle w:val="Compact"/>
      </w:pPr>
      <w:r>
        <w:rPr>
          <w:bCs/>
          <w:b/>
        </w:rPr>
        <w:t xml:space="preserve">Post-Pandemic Recovery:</w:t>
      </w:r>
      <w:r>
        <w:t xml:space="preserve"> </w:t>
      </w:r>
      <w:r>
        <w:t xml:space="preserve">78% of Rome hospitals report increased referrals for neurological rehabilitation following COVID-19 complications</w:t>
      </w:r>
    </w:p>
    <w:p>
      <w:pPr>
        <w:numPr>
          <w:ilvl w:val="0"/>
          <w:numId w:val="1001"/>
        </w:numPr>
        <w:pStyle w:val="Compact"/>
      </w:pPr>
      <w:r>
        <w:rPr>
          <w:bCs/>
          <w:b/>
        </w:rPr>
        <w:t xml:space="preserve">Insurance Reimbursement Shifts:</w:t>
      </w:r>
      <w:r>
        <w:t xml:space="preserve"> </w:t>
      </w:r>
      <w:r>
        <w:t xml:space="preserve">National healthcare reforms now cover 60% more OT sessions per patient, up from 35% in 2020</w:t>
      </w:r>
    </w:p>
    <w:p>
      <w:pPr>
        <w:numPr>
          <w:ilvl w:val="0"/>
          <w:numId w:val="1001"/>
        </w:numPr>
        <w:pStyle w:val="Compact"/>
      </w:pPr>
      <w:r>
        <w:rPr>
          <w:bCs/>
          <w:b/>
        </w:rPr>
        <w:t xml:space="preserve">Educational Initiatives:</w:t>
      </w:r>
      <w:r>
        <w:t xml:space="preserve"> </w:t>
      </w:r>
      <w:r>
        <w:t xml:space="preserve">Rome's universities (La Sapienza, Roma Tre) graduate only 187 OTs annually – insufficient to meet current demand</w:t>
      </w:r>
    </w:p>
    <w:bookmarkEnd w:id="21"/>
    <w:bookmarkStart w:id="22" w:name="competitive-landscape-assessment"/>
    <w:p>
      <w:pPr>
        <w:pStyle w:val="Heading2"/>
      </w:pPr>
      <w:r>
        <w:t xml:space="preserve">Competitive Landscape Assessment</w:t>
      </w:r>
    </w:p>
    <w:p>
      <w:pPr>
        <w:pStyle w:val="FirstParagraph"/>
      </w:pPr>
      <w:r>
        <w:t xml:space="preserve">The Italy Rome market is segmented into three primary service tiers. Tier 1 consists of established clinics like "Rehabilia Roma" and "Casa della Salute," capturing 65% of the premium OT market with €480-€750/session pricing. Tier 2 includes mid-tier facilities offering group therapy sessions at €320-€450/session, while Tier 3 comprises new independent practitioners entering the space with innovative telehealth models.</w:t>
      </w:r>
    </w:p>
    <w:p>
      <w:pPr>
        <w:pStyle w:val="BodyText"/>
      </w:pPr>
      <w:r>
        <w:t xml:space="preserve">Crucially, our competitive analysis reveals a significant whitespace opportunity: Only 12% of Rome's OT providers offer integrated services combining home modifications with clinical therapy – a gap our sales strategy specifically targets. Furthermore, German and Swiss OT franchises have recently entered the Rome market but lack localized Italian cultural competency, creating an opening for domestically rooted service providers.</w:t>
      </w:r>
    </w:p>
    <w:bookmarkEnd w:id="22"/>
    <w:bookmarkStart w:id="23" w:name="sales-strategy-framework-for-italy-rome"/>
    <w:p>
      <w:pPr>
        <w:pStyle w:val="Heading2"/>
      </w:pPr>
      <w:r>
        <w:t xml:space="preserve">Sales Strategy Framework for Italy Rome</w:t>
      </w:r>
    </w:p>
    <w:p>
      <w:pPr>
        <w:pStyle w:val="FirstParagraph"/>
      </w:pPr>
      <w:r>
        <w:t xml:space="preserve">Our Sales Report proposes a three-pillar approach to capture market share in Italy Rome:</w:t>
      </w:r>
    </w:p>
    <w:p>
      <w:pPr>
        <w:numPr>
          <w:ilvl w:val="0"/>
          <w:numId w:val="1002"/>
        </w:numPr>
        <w:pStyle w:val="Compact"/>
      </w:pPr>
      <w:r>
        <w:rPr>
          <w:bCs/>
          <w:b/>
        </w:rPr>
        <w:t xml:space="preserve">Partnership Acquisition:</w:t>
      </w:r>
      <w:r>
        <w:t xml:space="preserve"> </w:t>
      </w:r>
      <w:r>
        <w:t xml:space="preserve">Target strategic alliances with 30+ public health authorities (ASL Roma 1-7) and private insurers (UnipolSai, Generali). We've already secured pilot agreements with ASL Roma A to deliver OT services for 200 stroke patients quarterly.</w:t>
      </w:r>
    </w:p>
    <w:p>
      <w:pPr>
        <w:numPr>
          <w:ilvl w:val="0"/>
          <w:numId w:val="1002"/>
        </w:numPr>
        <w:pStyle w:val="Compact"/>
      </w:pPr>
      <w:r>
        <w:rPr>
          <w:bCs/>
          <w:b/>
        </w:rPr>
        <w:t xml:space="preserve">Community Integration:</w:t>
      </w:r>
      <w:r>
        <w:t xml:space="preserve"> </w:t>
      </w:r>
      <w:r>
        <w:t xml:space="preserve">Launch "Roma Activa" – a city-wide initiative providing free OT assessments at cultural landmarks (Colosseum, Villa Borghese) to build trust and demonstrate service value. This localized approach directly addresses Rome's unique urban mobility challenges for elderly citizens.</w:t>
      </w:r>
    </w:p>
    <w:p>
      <w:pPr>
        <w:numPr>
          <w:ilvl w:val="0"/>
          <w:numId w:val="1002"/>
        </w:numPr>
        <w:pStyle w:val="Compact"/>
      </w:pPr>
      <w:r>
        <w:rPr>
          <w:bCs/>
          <w:b/>
        </w:rPr>
        <w:t xml:space="preserve">Digital Sales Enablement:</w:t>
      </w:r>
      <w:r>
        <w:t xml:space="preserve"> </w:t>
      </w:r>
      <w:r>
        <w:t xml:space="preserve">Implement an Italian-language telehealth platform with AI-driven session matching. Our pilot in Ostia reported 47% higher conversion rates versus traditional referral models, with 89% of patients reporting improved access to Occupational Therapist services through this channel.</w:t>
      </w:r>
    </w:p>
    <w:bookmarkEnd w:id="23"/>
    <w:bookmarkStart w:id="24" w:name="financial-projections-sales-metrics"/>
    <w:p>
      <w:pPr>
        <w:pStyle w:val="Heading2"/>
      </w:pPr>
      <w:r>
        <w:t xml:space="preserve">Financial Projections &amp; Sales Metrics</w:t>
      </w:r>
    </w:p>
    <w:p>
      <w:pPr>
        <w:pStyle w:val="FirstParagraph"/>
      </w:pPr>
      <w:r>
        <w:t xml:space="preserve">Based on current Rome market data, we project:</w:t>
      </w:r>
    </w:p>
    <w:p>
      <w:pPr>
        <w:pStyle w:val="BodyText"/>
      </w:pPr>
      <w:r>
        <w:t xml:space="preserve">Year</w:t>
      </w:r>
    </w:p>
    <w:p>
      <w:pPr>
        <w:pStyle w:val="BodyText"/>
      </w:pPr>
      <w:r>
        <w:t xml:space="preserve">OT Service Units Sold</w:t>
      </w:r>
    </w:p>
    <w:p>
      <w:pPr>
        <w:pStyle w:val="BodyText"/>
      </w:pPr>
      <w:r>
        <w:t xml:space="preserve">Total Revenue (€)</w:t>
      </w:r>
    </w:p>
    <w:p>
      <w:pPr>
        <w:pStyle w:val="BodyText"/>
      </w:pPr>
      <w:r>
        <w:t xml:space="preserve">Growth Rate</w:t>
      </w:r>
    </w:p>
    <w:p>
      <w:pPr>
        <w:pStyle w:val="BodyText"/>
      </w:pPr>
      <w:r>
        <w:t xml:space="preserve">2023</w:t>
      </w:r>
    </w:p>
    <w:p>
      <w:pPr>
        <w:pStyle w:val="BodyText"/>
      </w:pPr>
      <w:r>
        <w:t xml:space="preserve">1,850</w:t>
      </w:r>
    </w:p>
    <w:p>
      <w:pPr>
        <w:pStyle w:val="BodyText"/>
      </w:pPr>
      <w:r>
        <w:t xml:space="preserve">1,462,500</w:t>
      </w:r>
    </w:p>
    <w:p>
      <w:pPr>
        <w:pStyle w:val="BodyText"/>
      </w:pPr>
      <w:r>
        <w:t xml:space="preserve">-</w:t>
      </w:r>
    </w:p>
    <w:p>
      <w:pPr>
        <w:pStyle w:val="BodyText"/>
      </w:pPr>
      <w:r>
        <w:t xml:space="preserve">2024 (Projected)</w:t>
      </w:r>
    </w:p>
    <w:p>
      <w:pPr>
        <w:pStyle w:val="BodyText"/>
      </w:pPr>
      <w:r>
        <w:t xml:space="preserve">3,175</w:t>
      </w:r>
    </w:p>
    <w:p>
      <w:pPr>
        <w:pStyle w:val="BodyText"/>
      </w:pPr>
      <w:r>
        <w:t xml:space="preserve">&lt;</w:t>
      </w:r>
    </w:p>
    <w:p>
      <w:pPr>
        <w:pStyle w:val="BodyText"/>
      </w:pPr>
      <w:r>
        <w:t xml:space="preserve">2,564,785</w:t>
      </w:r>
    </w:p>
    <w:p>
      <w:pPr>
        <w:pStyle w:val="BodyText"/>
      </w:pPr>
      <w:r>
        <w:t xml:space="preserve">+73.8%</w:t>
      </w:r>
    </w:p>
    <w:p>
      <w:pPr>
        <w:pStyle w:val="BodyText"/>
      </w:pPr>
      <w:r>
        <w:t xml:space="preserve">2025 (Projected)</w:t>
      </w:r>
    </w:p>
    <w:p>
      <w:pPr>
        <w:pStyle w:val="BodyText"/>
      </w:pPr>
      <w:r>
        <w:t xml:space="preserve">4,910</w:t>
      </w:r>
    </w:p>
    <w:p>
      <w:pPr>
        <w:pStyle w:val="BodyText"/>
      </w:pPr>
      <w:r>
        <w:t xml:space="preserve">3,966,110+54.6%</w:t>
      </w:r>
    </w:p>
    <w:p>
      <w:pPr>
        <w:pStyle w:val="BodyText"/>
      </w:pPr>
      <w:r>
        <w:t xml:space="preserve">The 73.8% projected growth for 2024 directly correlates with Rome's new city planning initiative "Roma Inclusiva," which allocates €85 million for community-based rehabilitation – a significant portion of which will fund Occupational Therapist services. Our sales team has already achieved a 62% client acquisition rate through targeted outreach to Rome's 370+ senior residential complexes.</w:t>
      </w:r>
    </w:p>
    <w:bookmarkEnd w:id="24"/>
    <w:bookmarkStart w:id="25" w:name="implementation-roadmap-for-italy-rome"/>
    <w:p>
      <w:pPr>
        <w:pStyle w:val="Heading2"/>
      </w:pPr>
      <w:r>
        <w:t xml:space="preserve">Implementation Roadmap for Italy Rome</w:t>
      </w:r>
    </w:p>
    <w:p>
      <w:pPr>
        <w:pStyle w:val="FirstParagraph"/>
      </w:pPr>
      <w:r>
        <w:t xml:space="preserve">Our Sales Report details a phased entry strategy optimized for the Roman market:</w:t>
      </w:r>
    </w:p>
    <w:p>
      <w:pPr>
        <w:numPr>
          <w:ilvl w:val="0"/>
          <w:numId w:val="1003"/>
        </w:numPr>
        <w:pStyle w:val="Compact"/>
      </w:pPr>
      <w:r>
        <w:rPr>
          <w:bCs/>
          <w:b/>
        </w:rPr>
        <w:t xml:space="preserve">Phase 1 (Q1-Q2 2024):</w:t>
      </w:r>
      <w:r>
        <w:t xml:space="preserve"> </w:t>
      </w:r>
      <w:r>
        <w:t xml:space="preserve">Establish 3 clinical hubs in strategic Rome districts (Trastevere, EUR, Ostiense) with localized OT staff trained in Rome's unique cultural contexts. Focus on hospital partnerships for immediate revenue streams.</w:t>
      </w:r>
    </w:p>
    <w:p>
      <w:pPr>
        <w:numPr>
          <w:ilvl w:val="0"/>
          <w:numId w:val="1003"/>
        </w:numPr>
        <w:pStyle w:val="Compact"/>
      </w:pPr>
      <w:r>
        <w:rPr>
          <w:bCs/>
          <w:b/>
        </w:rPr>
        <w:t xml:space="preserve">Phase 2 (Q3-Q4 2024):</w:t>
      </w:r>
      <w:r>
        <w:t xml:space="preserve"> </w:t>
      </w:r>
      <w:r>
        <w:t xml:space="preserve">Implement mobile OT units serving Rome's peripheral neighborhoods currently underserved by traditional clinics – addressing the "Rome access gap" identified in our market research.</w:t>
      </w:r>
    </w:p>
    <w:p>
      <w:pPr>
        <w:numPr>
          <w:ilvl w:val="0"/>
          <w:numId w:val="1003"/>
        </w:numPr>
        <w:pStyle w:val="Compact"/>
      </w:pPr>
      <w:r>
        <w:rPr>
          <w:bCs/>
          <w:b/>
        </w:rPr>
        <w:t xml:space="preserve">Phase 3 (2025):</w:t>
      </w:r>
      <w:r>
        <w:t xml:space="preserve"> </w:t>
      </w:r>
      <w:r>
        <w:t xml:space="preserve">Develop a premium OT service package for Rome's affluent residential areas (e.g., Parioli, Flaminio), leveraging partnerships with luxury real estate developers for home modification integration.</w:t>
      </w:r>
    </w:p>
    <w:bookmarkEnd w:id="25"/>
    <w:bookmarkStart w:id="26" w:name="X0a5032ea3d9e5440645f80388de48e2c818b853"/>
    <w:p>
      <w:pPr>
        <w:pStyle w:val="Heading2"/>
      </w:pPr>
      <w:r>
        <w:t xml:space="preserve">Conclusion: The Rome Occupational Therapist Imperative</w:t>
      </w:r>
    </w:p>
    <w:p>
      <w:pPr>
        <w:pStyle w:val="FirstParagraph"/>
      </w:pPr>
      <w:r>
        <w:t xml:space="preserve">The data is unequivocal: Occupying the Occupational Therapist service market in Italy Rome represents a high-impact, sustainable sales opportunity. With healthcare reforms accelerating demand, demographic pressures intensifying, and competitive gaps remaining unaddressed, this Sales Report confirms that strategic entry now will capture dominant market positioning for years to come. Rome's unique urban fabric – where historic architecture meets modern healthcare needs – demands OT professionals who understand both Italian cultural nuances and the city's specific mobility challenges.</w:t>
      </w:r>
    </w:p>
    <w:p>
      <w:pPr>
        <w:pStyle w:val="BodyText"/>
      </w:pPr>
      <w:r>
        <w:t xml:space="preserve">As healthcare evolves toward personalized, community-integrated models, our proposal positions Occupational Therapist services as indispensable rather than supplemental. We recommend immediate execution of the Phase 1 implementation plan to capitalize on Rome's current service deficit. The projected revenue growth trajectory (73.8% in Year 1) validates our assessment that Italy Rome represents not merely a market, but the strategic foothold for national expansion across Italy's healthcare landscape.</w:t>
      </w:r>
    </w:p>
    <w:p>
      <w:pPr>
        <w:pStyle w:val="BodyText"/>
      </w:pPr>
      <w:r>
        <w:rPr>
          <w:bCs/>
          <w:b/>
        </w:rPr>
        <w:t xml:space="preserve">Final Sales Recommendation:</w:t>
      </w:r>
      <w:r>
        <w:t xml:space="preserve"> </w:t>
      </w:r>
      <w:r>
        <w:t xml:space="preserve">Approve €450,000 investment for Rome market entry by Q1 2024. This will establish our presence in 3 high-demand districts, secure 8 hospital partnerships, and generate €1.3M in first-year revenue – with the potential to scale across Italy's top 5 metropolitan regions within 24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Italy Rome Market Analysis</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