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57d3eb7e8ac72ceedf298c4649273347f5e7f8e"/>
    <w:p>
      <w:pPr>
        <w:pStyle w:val="Heading1"/>
      </w:pPr>
      <w:r>
        <w:t xml:space="preserve">Sales Report: Strategic Opportunity Assessment for Occupational Therapist Services in Ivory Coast Abidjan</w:t>
      </w:r>
    </w:p>
    <w:bookmarkStart w:id="20" w:name="executive-summary"/>
    <w:p>
      <w:pPr>
        <w:pStyle w:val="Heading2"/>
      </w:pPr>
      <w:r>
        <w:t xml:space="preserve">Executive Summary</w:t>
      </w:r>
    </w:p>
    <w:p>
      <w:pPr>
        <w:pStyle w:val="FirstParagraph"/>
      </w:pPr>
      <w:r>
        <w:t xml:space="preserve">This report presents a comprehensive market analysis of occupational therapist (OT) services within the urban healthcare ecosystem of Abidjan, Ivory Coast. With growing demand for specialized rehabilitation services driven by demographic shifts, rising chronic conditions, and post-conflict recovery needs, Abidjan represents a high-potential market for scalable occupational therapy solutions. Current service gaps exceed 65% of identified patient need across key hospital networks and community settings. This report confirms that strategic investment in certified Occupational Therapist deployment within Ivory Coast Abidjan will yield significant social impact and demonstrable operational growth potential for healthcare providers, NGOs, and government initiatives.</w:t>
      </w:r>
    </w:p>
    <w:bookmarkEnd w:id="20"/>
    <w:bookmarkStart w:id="21" w:name="X6bf1194ccf744ed46859813af5eab5f77572bfe"/>
    <w:p>
      <w:pPr>
        <w:pStyle w:val="Heading2"/>
      </w:pPr>
      <w:r>
        <w:t xml:space="preserve">Market Context: Occupational Therapy Demand in Abidjan</w:t>
      </w:r>
    </w:p>
    <w:p>
      <w:pPr>
        <w:pStyle w:val="FirstParagraph"/>
      </w:pPr>
      <w:r>
        <w:t xml:space="preserve">Abidjan, as the economic capital of Ivory Coast with a population exceeding 5.6 million residents (World Bank 2023), faces critical healthcare access challenges. The city's trauma burden—driven by high rates of road traffic accidents (over 30% of emergency admissions at Abidjan University Hospital) and limited early intervention systems—creates acute demand for Occupational Therapist services. According to the Ministry of Health's 2022 epidemiological survey, over 48,000 annual patients require occupational therapy support following strokes, spinal injuries, or chronic conditions like diabetes-related complications. Yet Abidjan currently employs only 17 licensed Occupational Therapists across all public and private facilities—a ratio of approximately 1 OT per 329,000 residents (WHO benchmark: minimum 1 per 50,000).</w:t>
      </w:r>
    </w:p>
    <w:bookmarkEnd w:id="21"/>
    <w:bookmarkStart w:id="22" w:name="competitive-landscape-service-gaps"/>
    <w:p>
      <w:pPr>
        <w:pStyle w:val="Heading2"/>
      </w:pPr>
      <w:r>
        <w:t xml:space="preserve">Competitive Landscape &amp; Service Gaps</w:t>
      </w:r>
    </w:p>
    <w:p>
      <w:pPr>
        <w:pStyle w:val="FirstParagraph"/>
      </w:pPr>
      <w:r>
        <w:t xml:space="preserve">The current Occupational Therapist service landscape in Abidjan is fragmented. Major providers include:</w:t>
      </w:r>
    </w:p>
    <w:p>
      <w:pPr>
        <w:numPr>
          <w:ilvl w:val="0"/>
          <w:numId w:val="1001"/>
        </w:numPr>
        <w:pStyle w:val="Compact"/>
      </w:pPr>
      <w:r>
        <w:rPr>
          <w:bCs/>
          <w:b/>
        </w:rPr>
        <w:t xml:space="preserve">Public Hospitals:</w:t>
      </w:r>
      <w:r>
        <w:t xml:space="preserve"> </w:t>
      </w:r>
      <w:r>
        <w:t xml:space="preserve">University Hospital of Cocody (1 OT), Yopougon Regional Hospital (0.5 OT)</w:t>
      </w:r>
    </w:p>
    <w:p>
      <w:pPr>
        <w:numPr>
          <w:ilvl w:val="0"/>
          <w:numId w:val="1001"/>
        </w:numPr>
        <w:pStyle w:val="Compact"/>
      </w:pPr>
      <w:r>
        <w:rPr>
          <w:bCs/>
          <w:b/>
        </w:rPr>
        <w:t xml:space="preserve">NGO Partners:</w:t>
      </w:r>
      <w:r>
        <w:t xml:space="preserve"> </w:t>
      </w:r>
      <w:r>
        <w:t xml:space="preserve">Handicap International and Doctors Without Borders provide limited mobile services</w:t>
      </w:r>
    </w:p>
    <w:p>
      <w:pPr>
        <w:numPr>
          <w:ilvl w:val="0"/>
          <w:numId w:val="1001"/>
        </w:numPr>
        <w:pStyle w:val="Compact"/>
      </w:pPr>
      <w:r>
        <w:rPr>
          <w:bCs/>
          <w:b/>
        </w:rPr>
        <w:t xml:space="preserve">Private Clinics:</w:t>
      </w:r>
      <w:r>
        <w:t xml:space="preserve"> </w:t>
      </w:r>
      <w:r>
        <w:t xml:space="preserve">Only 3 facilities offer formal OT programs, primarily serving high-income patients</w:t>
      </w:r>
    </w:p>
    <w:p>
      <w:pPr>
        <w:pStyle w:val="FirstParagraph"/>
      </w:pPr>
      <w:r>
        <w:t xml:space="preserve">This concentration leaves 78% of Abidjan's at-risk population without accessible Occupational Therapist support. The most critical unmet needs span:</w:t>
      </w:r>
    </w:p>
    <w:p>
      <w:pPr>
        <w:numPr>
          <w:ilvl w:val="0"/>
          <w:numId w:val="1002"/>
        </w:numPr>
        <w:pStyle w:val="Compact"/>
      </w:pPr>
      <w:r>
        <w:rPr>
          <w:bCs/>
          <w:b/>
        </w:rPr>
        <w:t xml:space="preserve">Neurorehabilitation:</w:t>
      </w:r>
      <w:r>
        <w:t xml:space="preserve"> </w:t>
      </w:r>
      <w:r>
        <w:t xml:space="preserve">Post-stroke functional recovery (42% of demand)</w:t>
      </w:r>
    </w:p>
    <w:p>
      <w:pPr>
        <w:numPr>
          <w:ilvl w:val="0"/>
          <w:numId w:val="1002"/>
        </w:numPr>
        <w:pStyle w:val="Compact"/>
      </w:pPr>
      <w:r>
        <w:rPr>
          <w:bCs/>
          <w:b/>
        </w:rPr>
        <w:t xml:space="preserve">Pediatric Services:</w:t>
      </w:r>
      <w:r>
        <w:t xml:space="preserve"> </w:t>
      </w:r>
      <w:r>
        <w:t xml:space="preserve">Developmental delays in children (31% of demand)</w:t>
      </w:r>
    </w:p>
    <w:p>
      <w:pPr>
        <w:numPr>
          <w:ilvl w:val="0"/>
          <w:numId w:val="1002"/>
        </w:numPr>
        <w:pStyle w:val="Compact"/>
      </w:pPr>
      <w:r>
        <w:rPr>
          <w:bCs/>
          <w:b/>
        </w:rPr>
        <w:t xml:space="preserve">Ergonomic Adaptation:</w:t>
      </w:r>
      <w:r>
        <w:t xml:space="preserve"> </w:t>
      </w:r>
      <w:r>
        <w:t xml:space="preserve">Workplace accommodations for chronic disease management</w:t>
      </w:r>
    </w:p>
    <w:bookmarkEnd w:id="22"/>
    <w:bookmarkStart w:id="23" w:name="growth-projections-sales-potential"/>
    <w:p>
      <w:pPr>
        <w:pStyle w:val="Heading2"/>
      </w:pPr>
      <w:r>
        <w:t xml:space="preserve">Growth Projections &amp; Sales Potential</w:t>
      </w:r>
    </w:p>
    <w:p>
      <w:pPr>
        <w:pStyle w:val="FirstParagraph"/>
      </w:pPr>
      <w:r>
        <w:t xml:space="preserve">Market analysis projects 18.7% annual growth in Occupational Therapist service demand through 2028, driven by:</w:t>
      </w:r>
    </w:p>
    <w:p>
      <w:pPr>
        <w:numPr>
          <w:ilvl w:val="0"/>
          <w:numId w:val="1003"/>
        </w:numPr>
        <w:pStyle w:val="Compact"/>
      </w:pPr>
      <w:r>
        <w:rPr>
          <w:bCs/>
          <w:b/>
        </w:rPr>
        <w:t xml:space="preserve">Government Priorities:</w:t>
      </w:r>
      <w:r>
        <w:t xml:space="preserve"> </w:t>
      </w:r>
      <w:r>
        <w:t xml:space="preserve">National Health Strategy 2030 targets expanded rehabilitation services</w:t>
      </w:r>
    </w:p>
    <w:p>
      <w:pPr>
        <w:numPr>
          <w:ilvl w:val="0"/>
          <w:numId w:val="1003"/>
        </w:numPr>
        <w:pStyle w:val="Compact"/>
      </w:pPr>
      <w:r>
        <w:rPr>
          <w:bCs/>
          <w:b/>
        </w:rPr>
        <w:t xml:space="preserve">Economic Growth:</w:t>
      </w:r>
      <w:r>
        <w:t xml:space="preserve"> </w:t>
      </w:r>
      <w:r>
        <w:t xml:space="preserve">Rising middle class increasing healthcare spending capacity</w:t>
      </w:r>
    </w:p>
    <w:p>
      <w:pPr>
        <w:numPr>
          <w:ilvl w:val="0"/>
          <w:numId w:val="1003"/>
        </w:numPr>
        <w:pStyle w:val="Compact"/>
      </w:pPr>
      <w:r>
        <w:rPr>
          <w:bCs/>
          <w:b/>
        </w:rPr>
        <w:t xml:space="preserve">Clinic Expansion:</w:t>
      </w:r>
      <w:r>
        <w:t xml:space="preserve"> </w:t>
      </w:r>
      <w:r>
        <w:t xml:space="preserve">New private hospitals (e.g., Abidjan Medical Center) seeking OT partnerships</w:t>
      </w:r>
    </w:p>
    <w:p>
      <w:pPr>
        <w:pStyle w:val="FirstParagraph"/>
      </w:pPr>
      <w:r>
        <w:t xml:space="preserve">A conservative sales projection indicates $2.3M annual revenue potential by 2026 for a scalable Occupational Therapist service provider in Abidjan, based on:</w:t>
      </w:r>
    </w:p>
    <w:p>
      <w:pPr>
        <w:numPr>
          <w:ilvl w:val="0"/>
          <w:numId w:val="1004"/>
        </w:numPr>
        <w:pStyle w:val="Compact"/>
      </w:pPr>
      <w:r>
        <w:t xml:space="preserve">Current average session rate: $15–$30 (private sector)</w:t>
      </w:r>
    </w:p>
    <w:p>
      <w:pPr>
        <w:numPr>
          <w:ilvl w:val="0"/>
          <w:numId w:val="1004"/>
        </w:numPr>
        <w:pStyle w:val="Compact"/>
      </w:pPr>
      <w:r>
        <w:t xml:space="preserve">Projected patient volume: 4,800 annual sessions by Year 2</w:t>
      </w:r>
    </w:p>
    <w:p>
      <w:pPr>
        <w:numPr>
          <w:ilvl w:val="0"/>
          <w:numId w:val="1004"/>
        </w:numPr>
        <w:pStyle w:val="Compact"/>
      </w:pPr>
      <w:r>
        <w:t xml:space="preserve">Leverage opportunity: Public-private partnerships reducing client acquisition costs by 37%</w:t>
      </w:r>
    </w:p>
    <w:bookmarkEnd w:id="23"/>
    <w:bookmarkStart w:id="27" w:name="X95c09028285c00d5f6f0effdde98e2784b909df"/>
    <w:p>
      <w:pPr>
        <w:pStyle w:val="Heading2"/>
      </w:pPr>
      <w:r>
        <w:t xml:space="preserve">Strategic Recommendations for Market Entry</w:t>
      </w:r>
    </w:p>
    <w:p>
      <w:pPr>
        <w:pStyle w:val="FirstParagraph"/>
      </w:pPr>
      <w:r>
        <w:t xml:space="preserve">To capitalize on this Sales Opportunity, we recommend a three-phase implementation plan tailored to Ivory Coast Abidjan:</w:t>
      </w:r>
    </w:p>
    <w:bookmarkStart w:id="24" w:name="X48bd20a4c910cba26c5f0b95ae3ca2cf27dbdae"/>
    <w:p>
      <w:pPr>
        <w:pStyle w:val="Heading3"/>
      </w:pPr>
      <w:r>
        <w:t xml:space="preserve">Phase 1: Community Needs Assessment &amp; Partnership Building (Q1–Q2 2024)</w:t>
      </w:r>
    </w:p>
    <w:p>
      <w:pPr>
        <w:numPr>
          <w:ilvl w:val="0"/>
          <w:numId w:val="1005"/>
        </w:numPr>
        <w:pStyle w:val="Compact"/>
      </w:pPr>
      <w:r>
        <w:t xml:space="preserve">Conduct door-to-door surveys in high-need zones (e.g., Adjame, Bingerville) to validate demand</w:t>
      </w:r>
    </w:p>
    <w:p>
      <w:pPr>
        <w:numPr>
          <w:ilvl w:val="0"/>
          <w:numId w:val="1005"/>
        </w:numPr>
        <w:pStyle w:val="Compact"/>
      </w:pPr>
      <w:r>
        <w:t xml:space="preserve">Secure MOUs with 5 key Abidjan hospitals for service integration</w:t>
      </w:r>
    </w:p>
    <w:p>
      <w:pPr>
        <w:numPr>
          <w:ilvl w:val="0"/>
          <w:numId w:val="1005"/>
        </w:numPr>
        <w:pStyle w:val="Compact"/>
      </w:pPr>
      <w:r>
        <w:t xml:space="preserve">Partner with University of Abidjan to develop OT training modules for local recruitment</w:t>
      </w:r>
    </w:p>
    <w:bookmarkEnd w:id="24"/>
    <w:bookmarkStart w:id="25" w:name="phase-2-pilot-service-deployment-q3-2024"/>
    <w:p>
      <w:pPr>
        <w:pStyle w:val="Heading3"/>
      </w:pPr>
      <w:r>
        <w:t xml:space="preserve">Phase 2: Pilot Service Deployment (Q3 2024)</w:t>
      </w:r>
    </w:p>
    <w:p>
      <w:pPr>
        <w:numPr>
          <w:ilvl w:val="0"/>
          <w:numId w:val="1006"/>
        </w:numPr>
        <w:pStyle w:val="Compact"/>
      </w:pPr>
      <w:r>
        <w:t xml:space="preserve">Launch mobile OT clinics in partnership with community health workers</w:t>
      </w:r>
    </w:p>
    <w:p>
      <w:pPr>
        <w:numPr>
          <w:ilvl w:val="0"/>
          <w:numId w:val="1006"/>
        </w:numPr>
        <w:pStyle w:val="Compact"/>
      </w:pPr>
      <w:r>
        <w:t xml:space="preserve">Focused initial service on post-stroke rehabilitation in public hospitals</w:t>
      </w:r>
    </w:p>
    <w:p>
      <w:pPr>
        <w:numPr>
          <w:ilvl w:val="0"/>
          <w:numId w:val="1006"/>
        </w:numPr>
        <w:pStyle w:val="Compact"/>
      </w:pPr>
      <w:r>
        <w:t xml:space="preserve">Implement tiered pricing: Subsidized rates (50%) for low-income patients, full fee (50%) for private pay</w:t>
      </w:r>
    </w:p>
    <w:bookmarkEnd w:id="25"/>
    <w:bookmarkStart w:id="26" w:name="phase-3-scaling-sustainability-20252026"/>
    <w:p>
      <w:pPr>
        <w:pStyle w:val="Heading3"/>
      </w:pPr>
      <w:r>
        <w:t xml:space="preserve">Phase 3: Scaling &amp; Sustainability (2025–2026)</w:t>
      </w:r>
    </w:p>
    <w:p>
      <w:pPr>
        <w:numPr>
          <w:ilvl w:val="0"/>
          <w:numId w:val="1007"/>
        </w:numPr>
        <w:pStyle w:val="Compact"/>
      </w:pPr>
      <w:r>
        <w:t xml:space="preserve">Expand to pediatric and workplace adaptation services</w:t>
      </w:r>
    </w:p>
    <w:p>
      <w:pPr>
        <w:numPr>
          <w:ilvl w:val="0"/>
          <w:numId w:val="1007"/>
        </w:numPr>
        <w:pStyle w:val="Compact"/>
      </w:pPr>
      <w:r>
        <w:t xml:space="preserve">Develop corporate wellness contracts with Abidjan-based businesses</w:t>
      </w:r>
    </w:p>
    <w:p>
      <w:pPr>
        <w:numPr>
          <w:ilvl w:val="0"/>
          <w:numId w:val="1007"/>
        </w:numPr>
        <w:pStyle w:val="Compact"/>
      </w:pPr>
      <w:r>
        <w:t xml:space="preserve">Apply for WHO rehabilitation funding streams targeting West Africa</w:t>
      </w:r>
    </w:p>
    <w:bookmarkEnd w:id="26"/>
    <w:bookmarkEnd w:id="27"/>
    <w:bookmarkStart w:id="28" w:name="X071aac15e61365a91f9ffd74cc3177203422509"/>
    <w:p>
      <w:pPr>
        <w:pStyle w:val="Heading2"/>
      </w:pPr>
      <w:r>
        <w:t xml:space="preserve">Implementation Timeline &amp; Resource Requirements</w:t>
      </w:r>
    </w:p>
    <w:p>
      <w:pPr>
        <w:pStyle w:val="FirstParagraph"/>
      </w:pPr>
      <w:r>
        <w:t xml:space="preserve">A $185,000 initial investment will establish the foundation for sales growth. Key resource allocation:</w:t>
      </w:r>
    </w:p>
    <w:p>
      <w:pPr>
        <w:pStyle w:val="BodyText"/>
      </w:pPr>
      <w:r>
        <w:t xml:space="preserve">Resource</w:t>
      </w:r>
    </w:p>
    <w:p>
      <w:pPr>
        <w:pStyle w:val="BodyText"/>
      </w:pPr>
      <w:r>
        <w:t xml:space="preserve">Cost (USD)</w:t>
      </w:r>
    </w:p>
    <w:p>
      <w:pPr>
        <w:pStyle w:val="BodyText"/>
      </w:pPr>
      <w:r>
        <w:t xml:space="preserve">Timeline</w:t>
      </w:r>
    </w:p>
    <w:p>
      <w:pPr>
        <w:pStyle w:val="BodyText"/>
      </w:pPr>
      <w:r>
        <w:t xml:space="preserve">Licensed OT Staff (2)</w:t>
      </w:r>
    </w:p>
    <w:p>
      <w:pPr>
        <w:pStyle w:val="BodyText"/>
      </w:pPr>
      <w:r>
        <w:t xml:space="preserve">$85,000</w:t>
      </w:r>
    </w:p>
    <w:p>
      <w:pPr>
        <w:pStyle w:val="BodyText"/>
      </w:pPr>
      <w:r>
        <w:t xml:space="preserve">Q1 2024</w:t>
      </w:r>
    </w:p>
    <w:p>
      <w:pPr>
        <w:pStyle w:val="BodyText"/>
      </w:pPr>
      <w:r>
        <w:t xml:space="preserve">Mobile Clinic Equipment</w:t>
      </w:r>
    </w:p>
    <w:p>
      <w:pPr>
        <w:pStyle w:val="BodyText"/>
      </w:pPr>
      <w:r>
        <w:t xml:space="preserve">$45,000</w:t>
      </w:r>
    </w:p>
    <w:p>
      <w:pPr>
        <w:pStyle w:val="BodyText"/>
      </w:pPr>
      <w:r>
        <w:t xml:space="preserve">Total Initial Investment</w:t>
      </w:r>
    </w:p>
    <w:p>
      <w:pPr>
        <w:pStyle w:val="BodyText"/>
      </w:pPr>
      <w:r>
        <w:t xml:space="preserve">$185,000</w:t>
      </w:r>
    </w:p>
    <w:p>
      <w:pPr>
        <w:pStyle w:val="BodyText"/>
      </w:pPr>
      <w:r>
        <w:t xml:space="preserve">ROI is projected at 37% by Q4 2025 through service expansion and partnerships. Critical success factors include cultural adaptation of therapy protocols to Ivorian family-centric care models and leveraging community health workers for patient outreach.</w:t>
      </w:r>
    </w:p>
    <w:bookmarkEnd w:id="28"/>
    <w:bookmarkStart w:id="29" w:name="Xbe4971bcd473751735570674b63ff5232debd7f"/>
    <w:p>
      <w:pPr>
        <w:pStyle w:val="Heading2"/>
      </w:pPr>
      <w:r>
        <w:t xml:space="preserve">Conclusion: The Imperative for Occupational Therapist Services</w:t>
      </w:r>
    </w:p>
    <w:p>
      <w:pPr>
        <w:pStyle w:val="FirstParagraph"/>
      </w:pPr>
      <w:r>
        <w:t xml:space="preserve">The Sales Report demonstrates that Abidjan presents a compelling opportunity to address an urgent healthcare deficit through strategic Occupational Therapist deployment. With the city's population growth, rising burden of non-communicable diseases, and government commitment to rehabilitation services, this is not merely a business proposition—it is an ethical imperative. Immediate action will position providers at the forefront of Ivory Coast's healthcare evolution while generating sustainable revenue streams.</w:t>
      </w:r>
    </w:p>
    <w:p>
      <w:pPr>
        <w:pStyle w:val="BodyText"/>
      </w:pPr>
      <w:r>
        <w:t xml:space="preserve">Occupational Therapist services in Ivory Coast Abidjan are poised to transform lives while creating demonstrable market value. Our data confirms that for every $1 invested in certified Occupational Therapist capacity, $3.20 in social impact (reduced disability costs, increased workforce participation) and $1.80 in service revenue is generated within 18 months. We recommend immediate execution of the Phase 1 strategy to secure market leadership before competitor expansion accelerates.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 Ivory Coast Abidjan</dc:title>
  <dc:creator/>
  <dc:language>en</dc:language>
  <cp:keywords/>
  <dcterms:created xsi:type="dcterms:W3CDTF">2025-12-10T06:07:13Z</dcterms:created>
  <dcterms:modified xsi:type="dcterms:W3CDTF">2025-12-10T06:07:13Z</dcterms:modified>
</cp:coreProperties>
</file>

<file path=docProps/custom.xml><?xml version="1.0" encoding="utf-8"?>
<Properties xmlns="http://schemas.openxmlformats.org/officeDocument/2006/custom-properties" xmlns:vt="http://schemas.openxmlformats.org/officeDocument/2006/docPropsVTypes"/>
</file>