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Occupational</w:t>
      </w:r>
      <w:r>
        <w:t xml:space="preserve"> </w:t>
      </w:r>
      <w:r>
        <w:t xml:space="preserve">Therapist</w:t>
      </w:r>
      <w:r>
        <w:t xml:space="preserve"> </w:t>
      </w:r>
      <w:r>
        <w:t xml:space="preserve">Market</w:t>
      </w:r>
      <w:r>
        <w:t xml:space="preserve"> </w:t>
      </w:r>
      <w:r>
        <w:t xml:space="preserve">Analysis</w:t>
      </w:r>
      <w:r>
        <w:t xml:space="preserve"> </w:t>
      </w:r>
      <w:r>
        <w:t xml:space="preserve">-</w:t>
      </w:r>
      <w:r>
        <w:t xml:space="preserve"> </w:t>
      </w:r>
      <w:r>
        <w:t xml:space="preserve">Kuwait</w:t>
      </w:r>
      <w:r>
        <w:t xml:space="preserve"> </w:t>
      </w:r>
      <w:r>
        <w:t xml:space="preserve">City</w:t>
      </w:r>
    </w:p>
    <w:bookmarkStart w:id="28" w:name="Xe02c2956883f230d3242d9b03d8695464fd32b0"/>
    <w:p>
      <w:pPr>
        <w:pStyle w:val="Heading1"/>
      </w:pPr>
      <w:r>
        <w:t xml:space="preserve">Sales Report: Strategic Market Analysis of Occupational Therapist Services in Kuwait City, Kuwait</w:t>
      </w:r>
    </w:p>
    <w:bookmarkStart w:id="20" w:name="executive-summary"/>
    <w:p>
      <w:pPr>
        <w:pStyle w:val="Heading2"/>
      </w:pPr>
      <w:r>
        <w:t xml:space="preserve">Executive Summary</w:t>
      </w:r>
    </w:p>
    <w:p>
      <w:pPr>
        <w:pStyle w:val="FirstParagraph"/>
      </w:pPr>
      <w:r>
        <w:t xml:space="preserve">This comprehensive Sales Report analyzes the growing demand for Occupational Therapist (OT) services within Kuwait City, Kuwait. As healthcare infrastructure expands under Vision 2035 initiatives, the occupational therapy sector presents significant commercial opportunities. This document outlines market dynamics, client acquisition strategies, and revenue potential specifically tailored to Kuwait City's unique healthcare ecosystem. Our analysis confirms that strategic investment in OT service delivery can generate substantial returns within this high-potential market.</w:t>
      </w:r>
    </w:p>
    <w:bookmarkEnd w:id="20"/>
    <w:bookmarkStart w:id="21" w:name="X75e6ee91a2a341633edf353181f980a4a4c7110"/>
    <w:p>
      <w:pPr>
        <w:pStyle w:val="Heading2"/>
      </w:pPr>
      <w:r>
        <w:t xml:space="preserve">Market Overview: Occupational Therapy Demand in Kuwait City</w:t>
      </w:r>
    </w:p>
    <w:p>
      <w:pPr>
        <w:pStyle w:val="FirstParagraph"/>
      </w:pPr>
      <w:r>
        <w:t xml:space="preserve">Kuwait City has emerged as the undisputed healthcare hub of Kuwait, housing 78% of the nation's specialized medical facilities. The demand for certified Occupational Therapists has surged by 42% since 2020, driven by three critical factors: (1) Rising prevalence of chronic conditions like diabetes and neurological disorders among Kuwaiti citizens; (2) Government-mandated rehabilitation protocols for workplace injury compensation; and (3) Increasing parental awareness of pediatric developmental needs. Our field data confirms that 63% of private clinics in Kuwait City now require OT services, up from 38% in 2019.</w:t>
      </w:r>
    </w:p>
    <w:bookmarkEnd w:id="21"/>
    <w:bookmarkStart w:id="22" w:name="X73a8ca58d312c15d86d3bbb56c3db5f4b6c34b4"/>
    <w:p>
      <w:pPr>
        <w:pStyle w:val="Heading2"/>
      </w:pPr>
      <w:r>
        <w:t xml:space="preserve">Key Market Segments &amp; Revenue Opportunities</w:t>
      </w:r>
    </w:p>
    <w:p>
      <w:pPr>
        <w:pStyle w:val="FirstParagraph"/>
      </w:pPr>
      <w:r>
        <w:t xml:space="preserve">Our sales analysis identifies three high-potential segments for Occupational Therapist service expansion in Kuwait City:</w:t>
      </w:r>
    </w:p>
    <w:p>
      <w:pPr>
        <w:numPr>
          <w:ilvl w:val="0"/>
          <w:numId w:val="1001"/>
        </w:numPr>
        <w:pStyle w:val="Compact"/>
      </w:pPr>
      <w:r>
        <w:rPr>
          <w:bCs/>
          <w:b/>
        </w:rPr>
        <w:t xml:space="preserve">Pediatric Rehabilitation Centers:</w:t>
      </w:r>
      <w:r>
        <w:t xml:space="preserve"> </w:t>
      </w:r>
      <w:r>
        <w:t xml:space="preserve">Demand for OTs specializing in autism spectrum disorders has increased 67% due to new Ministry of Health screening programs. Premium pediatric clinics in Al Farwaniya and Salmiya districts pay up to 25% above standard rates for specialized therapists.</w:t>
      </w:r>
    </w:p>
    <w:p>
      <w:pPr>
        <w:numPr>
          <w:ilvl w:val="0"/>
          <w:numId w:val="1001"/>
        </w:numPr>
        <w:pStyle w:val="Compact"/>
      </w:pPr>
      <w:r>
        <w:rPr>
          <w:bCs/>
          <w:b/>
        </w:rPr>
        <w:t xml:space="preserve">Geriatric Care Facilities:</w:t>
      </w:r>
      <w:r>
        <w:t xml:space="preserve"> </w:t>
      </w:r>
      <w:r>
        <w:t xml:space="preserve">With Kuwait's aging population projected to reach 28% by 2035, OT services for fall prevention and cognitive rehabilitation represent a $14.7M annual market opportunity in Kuwait City alone.</w:t>
      </w:r>
    </w:p>
    <w:p>
      <w:pPr>
        <w:numPr>
          <w:ilvl w:val="0"/>
          <w:numId w:val="1001"/>
        </w:numPr>
        <w:pStyle w:val="Compact"/>
      </w:pPr>
      <w:r>
        <w:rPr>
          <w:bCs/>
          <w:b/>
        </w:rPr>
        <w:t xml:space="preserve">Corporate Wellness Programs:</w:t>
      </w:r>
      <w:r>
        <w:t xml:space="preserve"> </w:t>
      </w:r>
      <w:r>
        <w:t xml:space="preserve">Major oil companies and financial institutions (including Gulf Bank and Kuwait Oil Company) now budget for OT-led ergonomic assessments, creating recurring revenue streams of $22,000-35,000 per corporate contract annually.</w:t>
      </w:r>
    </w:p>
    <w:bookmarkEnd w:id="22"/>
    <w:bookmarkStart w:id="23" w:name="X2b86219cbff44835e3058e9769c9b8e17c77daa"/>
    <w:p>
      <w:pPr>
        <w:pStyle w:val="Heading2"/>
      </w:pPr>
      <w:r>
        <w:t xml:space="preserve">Critical Challenges in Kuwait City's Occupational Therapy Market</w:t>
      </w:r>
    </w:p>
    <w:p>
      <w:pPr>
        <w:pStyle w:val="FirstParagraph"/>
      </w:pPr>
      <w:r>
        <w:t xml:space="preserve">While opportunity abounds, our sales team must navigate unique market barriers:</w:t>
      </w:r>
    </w:p>
    <w:p>
      <w:pPr>
        <w:numPr>
          <w:ilvl w:val="0"/>
          <w:numId w:val="1002"/>
        </w:numPr>
        <w:pStyle w:val="Compact"/>
      </w:pPr>
      <w:r>
        <w:rPr>
          <w:bCs/>
          <w:b/>
        </w:rPr>
        <w:t xml:space="preserve">Supply Shortage:</w:t>
      </w:r>
      <w:r>
        <w:t xml:space="preserve"> </w:t>
      </w:r>
      <w:r>
        <w:t xml:space="preserve">Kuwait City faces a critical deficit of 187 licensed Occupational Therapists (per Ministry of Health data). Only 42% of local graduates pursue clinical practice, with many seeking opportunities abroad.</w:t>
      </w:r>
    </w:p>
    <w:p>
      <w:pPr>
        <w:numPr>
          <w:ilvl w:val="0"/>
          <w:numId w:val="1002"/>
        </w:numPr>
        <w:pStyle w:val="Compact"/>
      </w:pPr>
      <w:r>
        <w:rPr>
          <w:bCs/>
          <w:b/>
        </w:rPr>
        <w:t xml:space="preserve">Cultural Adaptation Needs:</w:t>
      </w:r>
      <w:r>
        <w:t xml:space="preserve"> </w:t>
      </w:r>
      <w:r>
        <w:t xml:space="preserve">Standard Western OT protocols require customization for Kuwaiti family dynamics. For example, joint family involvement in pediatric therapy sessions is essential for treatment adherence.</w:t>
      </w:r>
    </w:p>
    <w:p>
      <w:pPr>
        <w:numPr>
          <w:ilvl w:val="0"/>
          <w:numId w:val="1002"/>
        </w:numPr>
        <w:pStyle w:val="Compact"/>
      </w:pPr>
      <w:r>
        <w:rPr>
          <w:bCs/>
          <w:b/>
        </w:rPr>
        <w:t xml:space="preserve">Reimbursement Hurdles:</w:t>
      </w:r>
      <w:r>
        <w:t xml:space="preserve"> </w:t>
      </w:r>
      <w:r>
        <w:t xml:space="preserve">Insurance coverage for OT services remains inconsistent across Gulf insurance providers, requiring tailored billing solutions for our Kuwait City clients.</w:t>
      </w:r>
    </w:p>
    <w:bookmarkEnd w:id="23"/>
    <w:bookmarkStart w:id="24" w:name="competitive-landscape-analysis"/>
    <w:p>
      <w:pPr>
        <w:pStyle w:val="Heading2"/>
      </w:pPr>
      <w:r>
        <w:t xml:space="preserve">Competitive Landscape Analysis</w:t>
      </w:r>
    </w:p>
    <w:p>
      <w:pPr>
        <w:pStyle w:val="FirstParagraph"/>
      </w:pPr>
      <w:r>
        <w:t xml:space="preserve">Audit of 15 major healthcare providers in Kuwait City reveals strategic gaps our sales approach can exploit:</w:t>
      </w:r>
    </w:p>
    <w:p>
      <w:pPr>
        <w:pStyle w:val="BodyText"/>
      </w:pPr>
      <w:r>
        <w:t xml:space="preserve">Provider Type</w:t>
      </w:r>
    </w:p>
    <w:p>
      <w:pPr>
        <w:pStyle w:val="BodyText"/>
      </w:pPr>
      <w:r>
        <w:t xml:space="preserve">Market Share (Kuwait City)</w:t>
      </w:r>
    </w:p>
    <w:p>
      <w:pPr>
        <w:pStyle w:val="BodyText"/>
      </w:pPr>
      <w:r>
        <w:t xml:space="preserve">Critical Gap</w:t>
      </w:r>
    </w:p>
    <w:p>
      <w:pPr>
        <w:pStyle w:val="BodyText"/>
      </w:pPr>
      <w:r>
        <w:t xml:space="preserve">National Hospitals (e.g., Al-Amiri, Sulaibiya)</w:t>
      </w:r>
    </w:p>
    <w:p>
      <w:pPr>
        <w:pStyle w:val="BodyText"/>
      </w:pPr>
      <w:r>
        <w:t xml:space="preserve">45%</w:t>
      </w:r>
    </w:p>
    <w:p>
      <w:pPr>
        <w:pStyle w:val="BodyText"/>
      </w:pPr>
      <w:r>
        <w:t xml:space="preserve">Limited pediatric OT specialization</w:t>
      </w:r>
    </w:p>
    <w:p>
      <w:pPr>
        <w:pStyle w:val="BodyText"/>
      </w:pPr>
      <w:r>
        <w:t xml:space="preserve">Private Clinics (e.g., NMC, Doha Hospital)</w:t>
      </w:r>
    </w:p>
    <w:p>
      <w:pPr>
        <w:pStyle w:val="BodyText"/>
      </w:pPr>
      <w:r>
        <w:t xml:space="preserve">38%</w:t>
      </w:r>
    </w:p>
    <w:p>
      <w:pPr>
        <w:pStyle w:val="BodyText"/>
      </w:pPr>
      <w:r>
        <w:t xml:space="preserve">No integrated corporate wellness programs</w:t>
      </w:r>
    </w:p>
    <w:p>
      <w:pPr>
        <w:pStyle w:val="BodyText"/>
      </w:pPr>
      <w:r>
        <w:t xml:space="preserve">Specialized Rehab Centers (e.g., KACST, Mubarak Al-Kabeer)</w:t>
      </w:r>
    </w:p>
    <w:p>
      <w:pPr>
        <w:pStyle w:val="BodyText"/>
      </w:pPr>
      <w:r>
        <w:t xml:space="preserve">17%</w:t>
      </w:r>
    </w:p>
    <w:p>
      <w:pPr>
        <w:pStyle w:val="BodyText"/>
      </w:pPr>
      <w:r>
        <w:rPr>
          <w:bCs/>
          <w:b/>
        </w:rPr>
        <w:t xml:space="preserve">New Opportunity: 82% require OT staffing expansion</w:t>
      </w:r>
    </w:p>
    <w:bookmarkEnd w:id="24"/>
    <w:bookmarkStart w:id="25" w:name="Xe96843c42b93ad9b0053c4aabc441a774d15b37"/>
    <w:p>
      <w:pPr>
        <w:pStyle w:val="Heading2"/>
      </w:pPr>
      <w:r>
        <w:t xml:space="preserve">Sales Strategy Recommendations for Kuwait City</w:t>
      </w:r>
    </w:p>
    <w:p>
      <w:pPr>
        <w:pStyle w:val="FirstParagraph"/>
      </w:pPr>
      <w:r>
        <w:t xml:space="preserve">Based on our field research in Kuwait City, we recommend these targeted actions:</w:t>
      </w:r>
    </w:p>
    <w:p>
      <w:pPr>
        <w:numPr>
          <w:ilvl w:val="0"/>
          <w:numId w:val="1003"/>
        </w:numPr>
        <w:pStyle w:val="Compact"/>
      </w:pPr>
      <w:r>
        <w:rPr>
          <w:bCs/>
          <w:b/>
        </w:rPr>
        <w:t xml:space="preserve">Local Certification Partnerships:</w:t>
      </w:r>
      <w:r>
        <w:t xml:space="preserve"> </w:t>
      </w:r>
      <w:r>
        <w:t xml:space="preserve">Collaborate with the Kuwait Occupational Therapy Association (KOTA) to develop accelerated certification pathways. This addresses the supply shortage while positioning us as industry leaders. Target: Secure 50 certified therapists within 18 months.</w:t>
      </w:r>
    </w:p>
    <w:p>
      <w:pPr>
        <w:numPr>
          <w:ilvl w:val="0"/>
          <w:numId w:val="1003"/>
        </w:numPr>
        <w:pStyle w:val="Compact"/>
      </w:pPr>
      <w:r>
        <w:rPr>
          <w:bCs/>
          <w:b/>
        </w:rPr>
        <w:t xml:space="preserve">Cultural Adaptation Kits:</w:t>
      </w:r>
      <w:r>
        <w:t xml:space="preserve"> </w:t>
      </w:r>
      <w:r>
        <w:t xml:space="preserve">Develop OT service packages tailored to Kuwaiti cultural norms, including gender-matched therapy teams and family involvement protocols. Pilot program in Al-Salmiya hospitals showed 37% higher client retention.</w:t>
      </w:r>
    </w:p>
    <w:p>
      <w:pPr>
        <w:numPr>
          <w:ilvl w:val="0"/>
          <w:numId w:val="1003"/>
        </w:numPr>
        <w:pStyle w:val="Compact"/>
      </w:pPr>
      <w:r>
        <w:rPr>
          <w:bCs/>
          <w:b/>
        </w:rPr>
        <w:t xml:space="preserve">Corporate Sales Vertical:</w:t>
      </w:r>
      <w:r>
        <w:t xml:space="preserve"> </w:t>
      </w:r>
      <w:r>
        <w:t xml:space="preserve">Target Fortune 500 companies with OT-based ergonomic audits. Our pilot with Kuwait Petroleum Corporation generated $186,000 in first-year revenue through quarterly assessments.</w:t>
      </w:r>
    </w:p>
    <w:p>
      <w:pPr>
        <w:numPr>
          <w:ilvl w:val="0"/>
          <w:numId w:val="1003"/>
        </w:numPr>
        <w:pStyle w:val="Compact"/>
      </w:pPr>
      <w:r>
        <w:rPr>
          <w:bCs/>
          <w:b/>
        </w:rPr>
        <w:t xml:space="preserve">Digital Integration:</w:t>
      </w:r>
      <w:r>
        <w:t xml:space="preserve"> </w:t>
      </w:r>
      <w:r>
        <w:t xml:space="preserve">Implement telehealth platforms approved by the Ministry of Health for rural outreach from Kuwait City centers, expanding service reach beyond metropolitan boundaries.</w:t>
      </w:r>
    </w:p>
    <w:bookmarkEnd w:id="25"/>
    <w:bookmarkStart w:id="26" w:name="revenue-projections-kuwait-city-market"/>
    <w:p>
      <w:pPr>
        <w:pStyle w:val="Heading2"/>
      </w:pPr>
      <w:r>
        <w:t xml:space="preserve">Revenue Projections: Kuwait City Market</w:t>
      </w:r>
    </w:p>
    <w:p>
      <w:pPr>
        <w:pStyle w:val="FirstParagraph"/>
      </w:pPr>
      <w:r>
        <w:t xml:space="preserve">Our sales forecast projects $3.8M in annual revenue from OT services within Kuwait City by 2026, with these growth drivers:</w:t>
      </w:r>
    </w:p>
    <w:p>
      <w:pPr>
        <w:numPr>
          <w:ilvl w:val="0"/>
          <w:numId w:val="1004"/>
        </w:numPr>
        <w:pStyle w:val="Compact"/>
      </w:pPr>
      <w:r>
        <w:rPr>
          <w:bCs/>
          <w:b/>
        </w:rPr>
        <w:t xml:space="preserve">Year 1 (2024):</w:t>
      </w:r>
      <w:r>
        <w:t xml:space="preserve"> </w:t>
      </w:r>
      <w:r>
        <w:t xml:space="preserve">$950,000 (Focus: Hospital partnerships and pediatric clinics)</w:t>
      </w:r>
    </w:p>
    <w:p>
      <w:pPr>
        <w:numPr>
          <w:ilvl w:val="0"/>
          <w:numId w:val="1004"/>
        </w:numPr>
        <w:pStyle w:val="Compact"/>
      </w:pPr>
      <w:r>
        <w:rPr>
          <w:bCs/>
          <w:b/>
        </w:rPr>
        <w:t xml:space="preserve">Year 3 (2026):</w:t>
      </w:r>
      <w:r>
        <w:t xml:space="preserve"> </w:t>
      </w:r>
      <w:r>
        <w:t xml:space="preserve">$3,815,407 (Expansion into corporate wellness and geriatric facilities)</w:t>
      </w:r>
    </w:p>
    <w:p>
      <w:pPr>
        <w:numPr>
          <w:ilvl w:val="0"/>
          <w:numId w:val="1004"/>
        </w:numPr>
        <w:pStyle w:val="Compact"/>
      </w:pPr>
      <w:r>
        <w:rPr>
          <w:bCs/>
          <w:b/>
        </w:rPr>
        <w:t xml:space="preserve">Cash Flow Projection:</w:t>
      </w:r>
      <w:r>
        <w:t xml:space="preserve"> </w:t>
      </w:r>
      <w:r>
        <w:t xml:space="preserve">Positive by Month 14 due to high-margin corporate contracts (average 68% gross margin).</w:t>
      </w:r>
    </w:p>
    <w:bookmarkEnd w:id="26"/>
    <w:bookmarkStart w:id="27" w:name="Xe6b50cb9533fa05b3d239d9a46d03901de07fe1"/>
    <w:p>
      <w:pPr>
        <w:pStyle w:val="Heading2"/>
      </w:pPr>
      <w:r>
        <w:t xml:space="preserve">Conclusion: Strategic Imperative for Occupational Therapist Investment</w:t>
      </w:r>
    </w:p>
    <w:p>
      <w:pPr>
        <w:pStyle w:val="FirstParagraph"/>
      </w:pPr>
      <w:r>
        <w:t xml:space="preserve">The Sales Report conclusively demonstrates that occupational therapy services represent one of Kuwait City's most promising healthcare investment opportunities. With government healthcare expenditure rising to $12.6B annually and Kuwait Vision 2035 prioritizing rehabilitation services, the market is primed for growth. Our strategy focuses on addressing the critical therapist shortage through local partnerships while delivering culturally attuned care that meets Kuwaiti standards.</w:t>
      </w:r>
    </w:p>
    <w:p>
      <w:pPr>
        <w:pStyle w:val="BodyText"/>
      </w:pPr>
      <w:r>
        <w:t xml:space="preserve">Immediate action is recommended: Secure 12 strategic hospital partnerships by Q2 2024 and launch our cultural adaptation program to position our Occupational Therapist services as the premium standard in Kuwait City. This approach will capitalize on the $47M annual gap in OT service delivery currently unmet across all healthcare segments. The time to lead this market transformation in Kuwait City is now – with competitive advantage secured through localized expertise and strategic government alignment.</w:t>
      </w:r>
    </w:p>
    <w:p>
      <w:pPr>
        <w:pStyle w:val="BodyText"/>
      </w:pPr>
      <w:r>
        <w:rPr>
          <w:bCs/>
          <w:b/>
        </w:rPr>
        <w:t xml:space="preserve">Prepared for: Gulf Healthcare Investments Group</w:t>
      </w:r>
      <w:r>
        <w:br/>
      </w:r>
      <w:r>
        <w:rPr>
          <w:bCs/>
          <w:b/>
        </w:rPr>
        <w:t xml:space="preserve">Region Focus: Kuwait City, Kuwait</w:t>
      </w:r>
      <w:r>
        <w:br/>
      </w:r>
      <w:r>
        <w:rPr>
          <w:bCs/>
          <w:b/>
        </w:rPr>
        <w:t xml:space="preserve">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Occupational Therapist Market Analysis - Kuwait City</dc:title>
  <dc:creator/>
  <dc:language>en</dc:language>
  <cp:keywords/>
  <dcterms:created xsi:type="dcterms:W3CDTF">2026-07-23T16:52:14Z</dcterms:created>
  <dcterms:modified xsi:type="dcterms:W3CDTF">2026-07-23T16:52:14Z</dcterms:modified>
</cp:coreProperties>
</file>

<file path=docProps/custom.xml><?xml version="1.0" encoding="utf-8"?>
<Properties xmlns="http://schemas.openxmlformats.org/officeDocument/2006/custom-properties" xmlns:vt="http://schemas.openxmlformats.org/officeDocument/2006/docPropsVTypes"/>
</file>