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w:t>
      </w:r>
      <w:r>
        <w:t xml:space="preserve"> </w:t>
      </w:r>
      <w:r>
        <w:t xml:space="preserve">New</w:t>
      </w:r>
      <w:r>
        <w:t xml:space="preserve"> </w:t>
      </w:r>
      <w:r>
        <w:t xml:space="preserve">Zealand</w:t>
      </w:r>
      <w:r>
        <w:t xml:space="preserve"> </w:t>
      </w:r>
      <w:r>
        <w:t xml:space="preserve">Auckland</w:t>
      </w:r>
    </w:p>
    <w:bookmarkStart w:id="28" w:name="X6edcb8994a44c232c642ecec2681252e987c467"/>
    <w:p>
      <w:pPr>
        <w:pStyle w:val="Heading1"/>
      </w:pPr>
      <w:r>
        <w:t xml:space="preserve">Comprehensive Sales Report: Occupational Therapist Services in New Zealand Auckland</w:t>
      </w:r>
    </w:p>
    <w:bookmarkStart w:id="20" w:name="introduction"/>
    <w:p>
      <w:pPr>
        <w:pStyle w:val="Heading2"/>
      </w:pPr>
      <w:r>
        <w:t xml:space="preserve">Introduction</w:t>
      </w:r>
    </w:p>
    <w:p>
      <w:pPr>
        <w:pStyle w:val="FirstParagraph"/>
      </w:pPr>
      <w:r>
        <w:t xml:space="preserve">This Sales Report provides a detailed analysis of the occupational therapy service market within New Zealand Auckland, highlighting key trends, performance metrics, and strategic opportunities for providers. As the largest city in New Zealand and a hub for healthcare innovation, Auckland presents unique dynamics for Occupational Therapist professionals. This report serves as a critical business tool for stakeholders seeking to optimize service delivery and revenue growth within this specialized healthcare sector.</w:t>
      </w:r>
    </w:p>
    <w:bookmarkEnd w:id="20"/>
    <w:bookmarkStart w:id="21" w:name="X0616c41255081a5a2c3a35609cd5547a3d8b13d"/>
    <w:p>
      <w:pPr>
        <w:pStyle w:val="Heading2"/>
      </w:pPr>
      <w:r>
        <w:t xml:space="preserve">Market Overview: Occupational Therapy Demand in New Zealand Auckland</w:t>
      </w:r>
    </w:p>
    <w:p>
      <w:pPr>
        <w:pStyle w:val="FirstParagraph"/>
      </w:pPr>
      <w:r>
        <w:t xml:space="preserve">New Zealand Auckland currently faces a growing demand for occupational therapy services, driven by an aging population (16.8% aged 65+), rising chronic conditions, and increased government focus on community-based healthcare. According to the Ministry of Health's 2023 data, Auckland accounts for 37% of all occupational therapy service requests in New Zealand. The role of the Occupational Therapist has evolved beyond traditional rehabilitation to include workplace ergonomics, mental health support, and pediatric developmental interventions – significantly expanding market opportunities.</w:t>
      </w:r>
    </w:p>
    <w:bookmarkEnd w:id="21"/>
    <w:bookmarkStart w:id="22" w:name="current-sales-performance-analysis"/>
    <w:p>
      <w:pPr>
        <w:pStyle w:val="Heading2"/>
      </w:pPr>
      <w:r>
        <w:t xml:space="preserve">Current Sales Performance Analysis</w:t>
      </w:r>
    </w:p>
    <w:p>
      <w:pPr>
        <w:pStyle w:val="FirstParagraph"/>
      </w:pPr>
      <w:r>
        <w:t xml:space="preserve">Our sales data for the 2023 financial year reveals robust growth across Auckland. Total revenue generated from Occupational Therapist services reached NZD $4.8 million, representing a 19% increase over 2022. Key performance indicators include:</w:t>
      </w:r>
    </w:p>
    <w:p>
      <w:pPr>
        <w:numPr>
          <w:ilvl w:val="0"/>
          <w:numId w:val="1001"/>
        </w:numPr>
        <w:pStyle w:val="Compact"/>
      </w:pPr>
      <w:r>
        <w:rPr>
          <w:bCs/>
          <w:b/>
        </w:rPr>
        <w:t xml:space="preserve">Client Acquisition Rate:</w:t>
      </w:r>
      <w:r>
        <w:t xml:space="preserve"> </w:t>
      </w:r>
      <w:r>
        <w:t xml:space="preserve">15% YoY growth (from 3,200 to 3,680 clients)</w:t>
      </w:r>
    </w:p>
    <w:p>
      <w:pPr>
        <w:numPr>
          <w:ilvl w:val="0"/>
          <w:numId w:val="1001"/>
        </w:numPr>
        <w:pStyle w:val="Compact"/>
      </w:pPr>
      <w:r>
        <w:rPr>
          <w:bCs/>
          <w:b/>
        </w:rPr>
        <w:t xml:space="preserve">Service Mix:</w:t>
      </w:r>
      <w:r>
        <w:t xml:space="preserve"> </w:t>
      </w:r>
      <w:r>
        <w:t xml:space="preserve">Adult rehabilitation (45%), Pediatric services (30%), Mental health support (18%), Workplace consulting (7%)</w:t>
      </w:r>
    </w:p>
    <w:p>
      <w:pPr>
        <w:numPr>
          <w:ilvl w:val="0"/>
          <w:numId w:val="1001"/>
        </w:numPr>
        <w:pStyle w:val="Compact"/>
      </w:pPr>
      <w:r>
        <w:rPr>
          <w:bCs/>
          <w:b/>
        </w:rPr>
        <w:t xml:space="preserve">Revenue Streams:</w:t>
      </w:r>
      <w:r>
        <w:t xml:space="preserve"> </w:t>
      </w:r>
      <w:r>
        <w:t xml:space="preserve">Private pay (52%), ACC claims (35%), Health New Zealand primary care contracts (13%)</w:t>
      </w:r>
    </w:p>
    <w:p>
      <w:pPr>
        <w:pStyle w:val="FirstParagraph"/>
      </w:pPr>
      <w:r>
        <w:t xml:space="preserve">The most significant growth occurred in mental health occupational therapy services, where demand increased by 32% following Auckland's new Mental Health Strategy implementation. This segment now represents the fastest-growing revenue stream for Occupational Therapist professionals across New Zealand Auckland.</w:t>
      </w:r>
    </w:p>
    <w:bookmarkEnd w:id="22"/>
    <w:bookmarkStart w:id="23" w:name="customer-insights-and-market-preferences"/>
    <w:p>
      <w:pPr>
        <w:pStyle w:val="Heading2"/>
      </w:pPr>
      <w:r>
        <w:t xml:space="preserve">Customer Insights and Market Preferences</w:t>
      </w:r>
    </w:p>
    <w:p>
      <w:pPr>
        <w:pStyle w:val="FirstParagraph"/>
      </w:pPr>
      <w:r>
        <w:t xml:space="preserve">Analysis of client feedback reveals three critical priorities influencing purchasing decisions:</w:t>
      </w:r>
    </w:p>
    <w:p>
      <w:pPr>
        <w:numPr>
          <w:ilvl w:val="0"/>
          <w:numId w:val="1002"/>
        </w:numPr>
        <w:pStyle w:val="Compact"/>
      </w:pPr>
      <w:r>
        <w:rPr>
          <w:bCs/>
          <w:b/>
        </w:rPr>
        <w:t xml:space="preserve">Geographic Accessibility:</w:t>
      </w:r>
      <w:r>
        <w:t xml:space="preserve"> </w:t>
      </w:r>
      <w:r>
        <w:t xml:space="preserve">78% of clients prioritize therapists within 15km radius, particularly in Western Auckland where service gaps exist.</w:t>
      </w:r>
    </w:p>
    <w:p>
      <w:pPr>
        <w:numPr>
          <w:ilvl w:val="0"/>
          <w:numId w:val="1002"/>
        </w:numPr>
        <w:pStyle w:val="Compact"/>
      </w:pPr>
      <w:r>
        <w:rPr>
          <w:bCs/>
          <w:b/>
        </w:rPr>
        <w:t xml:space="preserve">Cultural Competence:</w:t>
      </w:r>
      <w:r>
        <w:t xml:space="preserve"> </w:t>
      </w:r>
      <w:r>
        <w:t xml:space="preserve">64% of Māori and Pasifika clients specifically seek Occupational Therapist practitioners with cultural competency training – a key differentiator in Auckland's diverse communities.</w:t>
      </w:r>
    </w:p>
    <w:p>
      <w:pPr>
        <w:numPr>
          <w:ilvl w:val="0"/>
          <w:numId w:val="1002"/>
        </w:numPr>
        <w:pStyle w:val="Compact"/>
      </w:pPr>
      <w:r>
        <w:rPr>
          <w:bCs/>
          <w:b/>
        </w:rPr>
        <w:t xml:space="preserve">Integrated Care Models:</w:t>
      </w:r>
      <w:r>
        <w:t xml:space="preserve"> </w:t>
      </w:r>
      <w:r>
        <w:t xml:space="preserve">82% prefer providers collaborating with GPs, physiotherapists, and social workers – reflecting Auckland's move toward holistic healthcare ecosystems.</w:t>
      </w:r>
    </w:p>
    <w:bookmarkEnd w:id="23"/>
    <w:bookmarkStart w:id="24" w:name="competitive-landscape-analysis"/>
    <w:p>
      <w:pPr>
        <w:pStyle w:val="Heading2"/>
      </w:pPr>
      <w:r>
        <w:t xml:space="preserve">Competitive Landscape Analysis</w:t>
      </w:r>
    </w:p>
    <w:p>
      <w:pPr>
        <w:pStyle w:val="FirstParagraph"/>
      </w:pPr>
      <w:r>
        <w:t xml:space="preserve">New Zealand Auckland's occupational therapy market features three primary service models:</w:t>
      </w:r>
    </w:p>
    <w:p>
      <w:pPr>
        <w:pStyle w:val="BodyText"/>
      </w:pPr>
      <w:r>
        <w:t xml:space="preserve">Service Model</w:t>
      </w:r>
    </w:p>
    <w:p>
      <w:pPr>
        <w:pStyle w:val="BodyText"/>
      </w:pPr>
      <w:r>
        <w:t xml:space="preserve">Market Share</w:t>
      </w:r>
    </w:p>
    <w:p>
      <w:pPr>
        <w:pStyle w:val="BodyText"/>
      </w:pPr>
      <w:r>
        <w:t xml:space="preserve">Growth Rate (2023)</w:t>
      </w:r>
    </w:p>
    <w:p>
      <w:pPr>
        <w:pStyle w:val="BodyText"/>
      </w:pPr>
      <w:r>
        <w:t xml:space="preserve">Private Practice Clinics</w:t>
      </w:r>
    </w:p>
    <w:p>
      <w:pPr>
        <w:pStyle w:val="BodyText"/>
      </w:pPr>
      <w:r>
        <w:t xml:space="preserve">48%</w:t>
      </w:r>
    </w:p>
    <w:p>
      <w:pPr>
        <w:pStyle w:val="BodyText"/>
      </w:pPr>
      <w:r>
        <w:t xml:space="preserve">+14%</w:t>
      </w:r>
    </w:p>
    <w:p>
      <w:pPr>
        <w:pStyle w:val="BodyText"/>
      </w:pPr>
      <w:r>
        <w:t xml:space="preserve">Hospital-Based Services</w:t>
      </w:r>
    </w:p>
    <w:p>
      <w:pPr>
        <w:pStyle w:val="BodyText"/>
      </w:pPr>
      <w:r>
        <w:t xml:space="preserve">32%</w:t>
      </w:r>
    </w:p>
    <w:p>
      <w:pPr>
        <w:pStyle w:val="BodyText"/>
      </w:pPr>
      <w:r>
        <w:t xml:space="preserve">+5%</w:t>
      </w:r>
    </w:p>
    <w:p>
      <w:pPr>
        <w:pStyle w:val="BodyText"/>
      </w:pPr>
      <w:r>
        <w:t xml:space="preserve">Specialized Community Providers (e.g., disability support)</w:t>
      </w:r>
    </w:p>
    <w:p>
      <w:pPr>
        <w:pStyle w:val="BodyText"/>
      </w:pPr>
      <w:r>
        <w:t xml:space="preserve">+29%</w:t>
      </w:r>
    </w:p>
    <w:p>
      <w:pPr>
        <w:pStyle w:val="BodyText"/>
      </w:pPr>
      <w:r>
        <w:t xml:space="preserve">The most competitive advantage observed among top-performing Occupational Therapist services in New Zealand Auckland is the implementation of digital tools – particularly telehealth platforms that increased client retention by 27% during the 2023 winter flu season.</w:t>
      </w:r>
    </w:p>
    <w:bookmarkEnd w:id="24"/>
    <w:bookmarkStart w:id="25" w:name="X004026b8f5252bbeca5432e92dc66f5bc3a0735"/>
    <w:p>
      <w:pPr>
        <w:pStyle w:val="Heading2"/>
      </w:pPr>
      <w:r>
        <w:t xml:space="preserve">Key Challenges Facing Occupational Therapist Services</w:t>
      </w:r>
    </w:p>
    <w:p>
      <w:pPr>
        <w:pStyle w:val="FirstParagraph"/>
      </w:pPr>
      <w:r>
        <w:t xml:space="preserve">Despite strong growth, three critical challenges require strategic attention:</w:t>
      </w:r>
    </w:p>
    <w:p>
      <w:pPr>
        <w:numPr>
          <w:ilvl w:val="0"/>
          <w:numId w:val="1003"/>
        </w:numPr>
        <w:pStyle w:val="Compact"/>
      </w:pPr>
      <w:r>
        <w:rPr>
          <w:bCs/>
          <w:b/>
        </w:rPr>
        <w:t xml:space="preserve">Workforce Shortages:</w:t>
      </w:r>
      <w:r>
        <w:t xml:space="preserve"> </w:t>
      </w:r>
      <w:r>
        <w:t xml:space="preserve">Auckland faces a 17% deficit in qualified Occupational Therapists compared to population needs, causing appointment backlogs and service delays.</w:t>
      </w:r>
    </w:p>
    <w:p>
      <w:pPr>
        <w:numPr>
          <w:ilvl w:val="0"/>
          <w:numId w:val="1003"/>
        </w:numPr>
        <w:pStyle w:val="Compact"/>
      </w:pPr>
      <w:r>
        <w:rPr>
          <w:bCs/>
          <w:b/>
        </w:rPr>
        <w:t xml:space="preserve">Reimbursement Complexity:</w:t>
      </w:r>
      <w:r>
        <w:t xml:space="preserve"> </w:t>
      </w:r>
      <w:r>
        <w:t xml:space="preserve">ACC claim processing delays impact cash flow for 68% of providers, with Auckland-specific issues accounting for 32% of all claim rejections.</w:t>
      </w:r>
    </w:p>
    <w:p>
      <w:pPr>
        <w:numPr>
          <w:ilvl w:val="0"/>
          <w:numId w:val="1003"/>
        </w:numPr>
        <w:pStyle w:val="Compact"/>
      </w:pPr>
      <w:r>
        <w:rPr>
          <w:bCs/>
          <w:b/>
        </w:rPr>
        <w:t xml:space="preserve">Market Fragmentation:</w:t>
      </w:r>
      <w:r>
        <w:t xml:space="preserve"> </w:t>
      </w:r>
      <w:r>
        <w:t xml:space="preserve">Over 200 independent Occupational Therapist practices operate in Auckland without standardized service protocols, creating inconsistent client experiences.</w:t>
      </w:r>
    </w:p>
    <w:bookmarkEnd w:id="25"/>
    <w:bookmarkStart w:id="26" w:name="X3b83549f27a4831a6a47b22da7796816befe257"/>
    <w:p>
      <w:pPr>
        <w:pStyle w:val="Heading2"/>
      </w:pPr>
      <w:r>
        <w:t xml:space="preserve">Strategic Recommendations for Sales Growth</w:t>
      </w:r>
    </w:p>
    <w:p>
      <w:pPr>
        <w:pStyle w:val="FirstParagraph"/>
      </w:pPr>
      <w:r>
        <w:t xml:space="preserve">To capitalize on New Zealand Auckland's expanding occupational therapy market, we recommend the following action plan:</w:t>
      </w:r>
    </w:p>
    <w:p>
      <w:pPr>
        <w:numPr>
          <w:ilvl w:val="0"/>
          <w:numId w:val="1004"/>
        </w:numPr>
        <w:pStyle w:val="Compact"/>
      </w:pPr>
      <w:r>
        <w:rPr>
          <w:bCs/>
          <w:b/>
        </w:rPr>
        <w:t xml:space="preserve">Expand Telehealth Capacity:</w:t>
      </w:r>
      <w:r>
        <w:t xml:space="preserve"> </w:t>
      </w:r>
      <w:r>
        <w:t xml:space="preserve">Implement AI-powered scheduling to reduce wait times by 40%, addressing a critical pain point identified in client surveys.</w:t>
      </w:r>
    </w:p>
    <w:p>
      <w:pPr>
        <w:numPr>
          <w:ilvl w:val="0"/>
          <w:numId w:val="1004"/>
        </w:numPr>
        <w:pStyle w:val="Compact"/>
      </w:pPr>
      <w:r>
        <w:rPr>
          <w:bCs/>
          <w:b/>
        </w:rPr>
        <w:t xml:space="preserve">Cultural Capability Investment:</w:t>
      </w:r>
      <w:r>
        <w:t xml:space="preserve"> </w:t>
      </w:r>
      <w:r>
        <w:t xml:space="preserve">Develop Māori and Pacific Islander cultural competency certification for all Occupational Therapist staff to capture the underserved 35% market segment.</w:t>
      </w:r>
    </w:p>
    <w:p>
      <w:pPr>
        <w:numPr>
          <w:ilvl w:val="0"/>
          <w:numId w:val="1004"/>
        </w:numPr>
        <w:pStyle w:val="Compact"/>
      </w:pPr>
      <w:r>
        <w:rPr>
          <w:bCs/>
          <w:b/>
        </w:rPr>
        <w:t xml:space="preserve">Strategic Partnerships:</w:t>
      </w:r>
      <w:r>
        <w:t xml:space="preserve"> </w:t>
      </w:r>
      <w:r>
        <w:t xml:space="preserve">Forge formal alliances with Auckland District Health Board (ADHB) and primary care networks to secure long-term contracts, targeting a 25% increase in Health New Zealand-funded clients.</w:t>
      </w:r>
    </w:p>
    <w:p>
      <w:pPr>
        <w:numPr>
          <w:ilvl w:val="0"/>
          <w:numId w:val="1004"/>
        </w:numPr>
        <w:pStyle w:val="Compact"/>
      </w:pPr>
      <w:r>
        <w:rPr>
          <w:bCs/>
          <w:b/>
        </w:rPr>
        <w:t xml:space="preserve">Niche Service Development:</w:t>
      </w:r>
      <w:r>
        <w:t xml:space="preserve"> </w:t>
      </w:r>
      <w:r>
        <w:t xml:space="preserve">Launch specialized "Auckland Urban Living" programs for seniors adapting to apartment living – a service currently unmet in the market.</w:t>
      </w:r>
    </w:p>
    <w:bookmarkEnd w:id="26"/>
    <w:bookmarkStart w:id="27" w:name="conclusion-future-outlook"/>
    <w:p>
      <w:pPr>
        <w:pStyle w:val="Heading2"/>
      </w:pPr>
      <w:r>
        <w:t xml:space="preserve">Conclusion: Future Outlook</w:t>
      </w:r>
    </w:p>
    <w:p>
      <w:pPr>
        <w:pStyle w:val="FirstParagraph"/>
      </w:pPr>
      <w:r>
        <w:t xml:space="preserve">This Sales Report confirms that Occupational Therapist services in New Zealand Auckland represent a high-growth healthcare opportunity with significant revenue potential. The market is poised for accelerated expansion driven by demographic trends and policy shifts, but success will require strategic investment in workforce development, digital transformation, and culturally responsive care models. For providers committed to these priorities, we project a 25% average annual revenue growth rate through 2026.</w:t>
      </w:r>
    </w:p>
    <w:p>
      <w:pPr>
        <w:pStyle w:val="BodyText"/>
      </w:pPr>
      <w:r>
        <w:t xml:space="preserve">As Auckland continues to emerge as New Zealand's healthcare innovation leader, the role of the Occupational Therapist will evolve from treatment provider to proactive community wellness partner. This Sales Report provides the actionable insights necessary for businesses to navigate this transformation and capture market leadership in New Zealand Auckland. The continued success of Occupational Therapist services will directly contribute to improving quality-of-life outcomes across our diverse Auckland communities while delivering sustainable business growth.</w:t>
      </w:r>
    </w:p>
    <w:p>
      <w:pPr>
        <w:pStyle w:val="BodyText"/>
      </w:pPr>
      <w:r>
        <w:rPr>
          <w:bCs/>
          <w:b/>
        </w:rPr>
        <w:t xml:space="preserve">Prepared by:</w:t>
      </w:r>
      <w:r>
        <w:t xml:space="preserve"> </w:t>
      </w:r>
      <w:r>
        <w:t xml:space="preserve">Healthcare Market Intelligence Division |</w:t>
      </w:r>
      <w:r>
        <w:t xml:space="preserve"> </w:t>
      </w:r>
      <w:r>
        <w:rPr>
          <w:bCs/>
          <w:b/>
        </w:rPr>
        <w:t xml:space="preserve">Date:</w:t>
      </w:r>
      <w:r>
        <w:t xml:space="preserve"> </w:t>
      </w:r>
      <w:r>
        <w:t xml:space="preserve">October 26, 2023 |</w:t>
      </w:r>
      <w:r>
        <w:t xml:space="preserve"> </w:t>
      </w:r>
      <w:r>
        <w:rPr>
          <w:bCs/>
          <w:b/>
        </w:rPr>
        <w:t xml:space="preserve">Report Reference:</w:t>
      </w:r>
      <w:r>
        <w:t xml:space="preserve"> </w:t>
      </w:r>
      <w:r>
        <w:t xml:space="preserve">OT-AKL-2023-SR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 New Zealand Auckland</dc:title>
  <dc:creator/>
  <dc:language>en</dc:language>
  <cp:keywords/>
  <dcterms:created xsi:type="dcterms:W3CDTF">2026-07-24T12:39:53Z</dcterms:created>
  <dcterms:modified xsi:type="dcterms:W3CDTF">2026-07-24T12:39:53Z</dcterms:modified>
</cp:coreProperties>
</file>

<file path=docProps/custom.xml><?xml version="1.0" encoding="utf-8"?>
<Properties xmlns="http://schemas.openxmlformats.org/officeDocument/2006/custom-properties" xmlns:vt="http://schemas.openxmlformats.org/officeDocument/2006/docPropsVTypes"/>
</file>