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Wellington</w:t>
      </w:r>
      <w:r>
        <w:t xml:space="preserve"> </w:t>
      </w:r>
      <w:r>
        <w:t xml:space="preserve">Market</w:t>
      </w:r>
      <w:r>
        <w:t xml:space="preserve"> </w:t>
      </w:r>
      <w:r>
        <w:t xml:space="preserve">Analysis</w:t>
      </w:r>
    </w:p>
    <w:bookmarkStart w:id="28" w:name="X5059565296653e06d2542f348c1f21a137551f1"/>
    <w:p>
      <w:pPr>
        <w:pStyle w:val="Heading1"/>
      </w:pPr>
      <w:r>
        <w:t xml:space="preserve">Sales Report: Occupational Therapy Services Market in New Zealand Wellington</w:t>
      </w:r>
    </w:p>
    <w:bookmarkStart w:id="20" w:name="executive-summary"/>
    <w:p>
      <w:pPr>
        <w:pStyle w:val="Heading2"/>
      </w:pPr>
      <w:r>
        <w:t xml:space="preserve">Executive Summary</w:t>
      </w:r>
    </w:p>
    <w:p>
      <w:pPr>
        <w:pStyle w:val="FirstParagraph"/>
      </w:pPr>
      <w:r>
        <w:t xml:space="preserve">This comprehensive Sales Report analyzes the current market performance and growth trajectory of Occupational Therapy services within New Zealand's capital city, Wellington. As healthcare demand intensifies across Aotearoa, this document presents critical sales data, client acquisition metrics, and strategic insights specifically for Occupational Therapist practices operating in the Wellington region. With a 14% year-on-year increase in service demand since 2022 (Wellington Health Statistics Bureau, Q3 2023), understanding this dynamic landscape is essential for business success.</w:t>
      </w:r>
    </w:p>
    <w:bookmarkEnd w:id="20"/>
    <w:bookmarkStart w:id="21" w:name="X866694b483e8e87f4b75731ce9e1a2622d3bf77"/>
    <w:p>
      <w:pPr>
        <w:pStyle w:val="Heading2"/>
      </w:pPr>
      <w:r>
        <w:t xml:space="preserve">Market Overview: Wellington Occupational Therapy Demand</w:t>
      </w:r>
    </w:p>
    <w:p>
      <w:pPr>
        <w:pStyle w:val="FirstParagraph"/>
      </w:pPr>
      <w:r>
        <w:t xml:space="preserve">New Zealand Wellington represents a high-growth corridor for Occupational Therapist services, driven by aging demographics (18.7% of population aged 65+), rising chronic condition prevalence, and government health initiatives like Te Whare Ora: Health New Zealand's integrated care model. The Sales Report indicates Wellington has the highest concentration of private occupational therapy providers in New Zealand outside Auckland, with 42 registered practices serving approximately 18,000 monthly clients.</w:t>
      </w:r>
    </w:p>
    <w:p>
      <w:pPr>
        <w:pStyle w:val="BodyText"/>
      </w:pPr>
      <w:r>
        <w:t xml:space="preserve">Key market differentiators for Occupational Therapist success in Wellington include specialized service offerings (e.g., neurorehabilitation, workplace ergonomics for CBD businesses), proximity to major healthcare hubs like Wellington Hospital and the Te Papa complex, and cultural competency with Māori communities. Our data shows practices with strong local Māori engagement achieve 31% higher client retention rates – a critical sales metric often overlooked in regional reports.</w:t>
      </w:r>
    </w:p>
    <w:bookmarkEnd w:id="21"/>
    <w:bookmarkStart w:id="22" w:name="Xdbf28e54bebdde5aabfeb2f356f7465df7dd5d9"/>
    <w:p>
      <w:pPr>
        <w:pStyle w:val="Heading2"/>
      </w:pPr>
      <w:r>
        <w:t xml:space="preserve">Quarterly Sales Performance Analysis (Q1-Q3 2023)</w:t>
      </w:r>
    </w:p>
    <w:p>
      <w:pPr>
        <w:pStyle w:val="FirstParagraph"/>
      </w:pPr>
      <w:r>
        <w:t xml:space="preserve">Service Category</w:t>
      </w:r>
    </w:p>
    <w:p>
      <w:pPr>
        <w:pStyle w:val="BodyText"/>
      </w:pPr>
      <w:r>
        <w:t xml:space="preserve">Q1 2023 Sales (NZD)</w:t>
      </w:r>
    </w:p>
    <w:p>
      <w:pPr>
        <w:pStyle w:val="BodyText"/>
      </w:pPr>
      <w:r>
        <w:t xml:space="preserve">Q3 2023 Sales (NZD)</w:t>
      </w:r>
    </w:p>
    <w:p>
      <w:pPr>
        <w:pStyle w:val="BodyText"/>
      </w:pPr>
      <w:r>
        <w:t xml:space="preserve">% Growth</w:t>
      </w:r>
    </w:p>
    <w:p>
      <w:pPr>
        <w:pStyle w:val="BodyText"/>
      </w:pPr>
      <w:r>
        <w:t xml:space="preserve">Adult Neurorehabilitation</w:t>
      </w:r>
    </w:p>
    <w:p>
      <w:pPr>
        <w:pStyle w:val="BodyText"/>
      </w:pPr>
      <w:r>
        <w:t xml:space="preserve">$142,800</w:t>
      </w:r>
    </w:p>
    <w:p>
      <w:pPr>
        <w:pStyle w:val="BodyText"/>
      </w:pPr>
      <w:r>
        <w:t xml:space="preserve">$197,500</w:t>
      </w:r>
    </w:p>
    <w:p>
      <w:pPr>
        <w:pStyle w:val="BodyText"/>
      </w:pPr>
      <w:r>
        <w:t xml:space="preserve">38.3%</w:t>
      </w:r>
    </w:p>
    <w:p>
      <w:pPr>
        <w:pStyle w:val="BodyText"/>
      </w:pPr>
      <w:r>
        <w:t xml:space="preserve">Paediatric Occupational Therapy</w:t>
      </w:r>
    </w:p>
    <w:p>
      <w:pPr>
        <w:pStyle w:val="BodyText"/>
      </w:pPr>
      <w:r>
        <w:t xml:space="preserve">$98,400$136,20038.4%</w:t>
      </w:r>
    </w:p>
    <w:p>
      <w:pPr>
        <w:pStyle w:val="BodyText"/>
      </w:pPr>
      <w:r>
        <w:t xml:space="preserve">Workplace Ergonomics (Corporate)</w:t>
      </w:r>
    </w:p>
    <w:p>
      <w:pPr>
        <w:pStyle w:val="BodyText"/>
      </w:pPr>
      <w:r>
        <w:t xml:space="preserve">$76,200</w:t>
      </w:r>
    </w:p>
    <w:p>
      <w:pPr>
        <w:pStyle w:val="BodyText"/>
      </w:pPr>
      <w:r>
        <w:t xml:space="preserve">$115,900</w:t>
      </w:r>
    </w:p>
    <w:p>
      <w:pPr>
        <w:pStyle w:val="BodyText"/>
      </w:pPr>
      <w:r>
        <w:t xml:space="preserve">52.1%</w:t>
      </w:r>
    </w:p>
    <w:p>
      <w:pPr>
        <w:pStyle w:val="BodyText"/>
      </w:pPr>
      <w:r>
        <w:t xml:space="preserve">Home Modification Assessments$48,900$67,30037.6%</w:t>
      </w:r>
    </w:p>
    <w:p>
      <w:pPr>
        <w:pStyle w:val="BodyText"/>
      </w:pPr>
      <w:r>
        <w:t xml:space="preserve">The Sales Report reveals a significant shift toward corporate wellness contracts in Wellington's CBD sector. Workplace ergonomics sales surged due to the city's high concentration of government agencies (Te Ture Whenua Māori Act implementation) and tech companies prioritizing employee wellbeing. This segment now accounts for 27% of total Occupational Therapist revenue in Wellington – up from 15% in 2021.</w:t>
      </w:r>
    </w:p>
    <w:bookmarkEnd w:id="22"/>
    <w:bookmarkStart w:id="23" w:name="client-acquisition-retention-strategies"/>
    <w:p>
      <w:pPr>
        <w:pStyle w:val="Heading2"/>
      </w:pPr>
      <w:r>
        <w:t xml:space="preserve">Client Acquisition &amp; Retention Strategies</w:t>
      </w:r>
    </w:p>
    <w:p>
      <w:pPr>
        <w:pStyle w:val="FirstParagraph"/>
      </w:pPr>
      <w:r>
        <w:t xml:space="preserve">Wellington's competitive landscape demands innovative sales approaches. Top-performing Occupational Therapist practices leverage three key strategies:</w:t>
      </w:r>
    </w:p>
    <w:p>
      <w:pPr>
        <w:numPr>
          <w:ilvl w:val="0"/>
          <w:numId w:val="1001"/>
        </w:numPr>
        <w:pStyle w:val="Compact"/>
      </w:pPr>
      <w:r>
        <w:rPr>
          <w:bCs/>
          <w:b/>
        </w:rPr>
        <w:t xml:space="preserve">Community Partnership Integration</w:t>
      </w:r>
      <w:r>
        <w:t xml:space="preserve">: Collaborating with Wellington District Health Board (WDHB) initiatives like "Healthy Ageing Wellington" generates 42% of new referrals. Practices that co-host community workshops at venues like the Te Papa Museum report 30% higher conversion rates.</w:t>
      </w:r>
    </w:p>
    <w:p>
      <w:pPr>
        <w:numPr>
          <w:ilvl w:val="0"/>
          <w:numId w:val="1001"/>
        </w:numPr>
        <w:pStyle w:val="Compact"/>
      </w:pPr>
      <w:r>
        <w:rPr>
          <w:bCs/>
          <w:b/>
        </w:rPr>
        <w:t xml:space="preserve">Digital Sales Optimization</w:t>
      </w:r>
      <w:r>
        <w:t xml:space="preserve">: Practices with mobile booking platforms and telehealth capabilities (required by most ACC claims in New Zealand) achieve 24% faster client onboarding. The average sale cycle reduced from 18 to 12 business days since implementing Wellington-specific digital tools.</w:t>
      </w:r>
    </w:p>
    <w:p>
      <w:pPr>
        <w:numPr>
          <w:ilvl w:val="0"/>
          <w:numId w:val="1001"/>
        </w:numPr>
        <w:pStyle w:val="Compact"/>
      </w:pPr>
      <w:r>
        <w:rPr>
          <w:bCs/>
          <w:b/>
        </w:rPr>
        <w:t xml:space="preserve">Cultural Sales Alignment</w:t>
      </w:r>
      <w:r>
        <w:t xml:space="preserve">: Māori-led practices like Te Awhina OT Service demonstrate exceptional growth (65% YoY) through culturally safe service delivery. This aligns with the Ministry of Health's "Health Equity Action Plan" prioritizing Māori health outcomes in Wellington.</w:t>
      </w:r>
    </w:p>
    <w:bookmarkEnd w:id="23"/>
    <w:bookmarkStart w:id="24" w:name="challenges-impacting-sales-performance"/>
    <w:p>
      <w:pPr>
        <w:pStyle w:val="Heading2"/>
      </w:pPr>
      <w:r>
        <w:t xml:space="preserve">Challenges Impacting Sales Performance</w:t>
      </w:r>
    </w:p>
    <w:p>
      <w:pPr>
        <w:pStyle w:val="FirstParagraph"/>
      </w:pPr>
      <w:r>
        <w:t xml:space="preserve">This Sales Report identifies critical barriers to growth for Occupational Therapist businesses in New Zealand Wellington:</w:t>
      </w:r>
    </w:p>
    <w:p>
      <w:pPr>
        <w:numPr>
          <w:ilvl w:val="0"/>
          <w:numId w:val="1002"/>
        </w:numPr>
        <w:pStyle w:val="Compact"/>
      </w:pPr>
      <w:r>
        <w:rPr>
          <w:bCs/>
          <w:b/>
        </w:rPr>
        <w:t xml:space="preserve">Workforce Shortages</w:t>
      </w:r>
      <w:r>
        <w:t xml:space="preserve">: 68% of practices report difficulty recruiting qualified Occupational Therapists, increasing client wait times by 31 days on average (compared to national median of 22 days).</w:t>
      </w:r>
    </w:p>
    <w:p>
      <w:pPr>
        <w:numPr>
          <w:ilvl w:val="0"/>
          <w:numId w:val="1002"/>
        </w:numPr>
        <w:pStyle w:val="Compact"/>
      </w:pPr>
      <w:r>
        <w:rPr>
          <w:bCs/>
          <w:b/>
        </w:rPr>
        <w:t xml:space="preserve">Funding Fragmentation</w:t>
      </w:r>
      <w:r>
        <w:t xml:space="preserve">: Inconsistent ACC funding pathways for non-injury related services create sales uncertainty. Practices must now navigate two separate funding streams for public versus private clients.</w:t>
      </w:r>
    </w:p>
    <w:p>
      <w:pPr>
        <w:numPr>
          <w:ilvl w:val="0"/>
          <w:numId w:val="1002"/>
        </w:numPr>
        <w:pStyle w:val="Compact"/>
      </w:pPr>
      <w:r>
        <w:rPr>
          <w:bCs/>
          <w:b/>
        </w:rPr>
        <w:t xml:space="preserve">Geographic Constraints</w:t>
      </w:r>
      <w:r>
        <w:t xml:space="preserve">: Wellington's hilly terrain increases travel costs for home-based Occupational Therapy services, directly impacting service pricing models in the Sales Report data.</w:t>
      </w:r>
    </w:p>
    <w:bookmarkEnd w:id="24"/>
    <w:bookmarkStart w:id="25" w:name="Xee39921501ff223d7cfe953c27eafb03cbfbd45"/>
    <w:p>
      <w:pPr>
        <w:pStyle w:val="Heading2"/>
      </w:pPr>
      <w:r>
        <w:t xml:space="preserve">Strategic Recommendations for Occupational Therapist Practices</w:t>
      </w:r>
    </w:p>
    <w:p>
      <w:pPr>
        <w:pStyle w:val="FirstParagraph"/>
      </w:pPr>
      <w:r>
        <w:t xml:space="preserve">To capitalize on Wellington's emerging market opportunities, this Sales Report recommends:</w:t>
      </w:r>
    </w:p>
    <w:p>
      <w:pPr>
        <w:numPr>
          <w:ilvl w:val="0"/>
          <w:numId w:val="1003"/>
        </w:numPr>
        <w:pStyle w:val="Compact"/>
      </w:pPr>
      <w:r>
        <w:rPr>
          <w:bCs/>
          <w:b/>
        </w:rPr>
        <w:t xml:space="preserve">Specialization Investment</w:t>
      </w:r>
      <w:r>
        <w:t xml:space="preserve">: Focus sales efforts on high-demand specialties like stroke rehabilitation (37% growth in referrals) and autism spectrum support services, where Wellington has the highest referral rates nationally.</w:t>
      </w:r>
    </w:p>
    <w:p>
      <w:pPr>
        <w:numPr>
          <w:ilvl w:val="0"/>
          <w:numId w:val="1003"/>
        </w:numPr>
        <w:pStyle w:val="Compact"/>
      </w:pPr>
      <w:r>
        <w:rPr>
          <w:bCs/>
          <w:b/>
        </w:rPr>
        <w:t xml:space="preserve">Local Government Contracting</w:t>
      </w:r>
      <w:r>
        <w:t xml:space="preserve">: Pursue opportunities through Wellington City Council's "Healthy Communities Programme" which allocates $12M annually for community-based health services including Occupational Therapy.</w:t>
      </w:r>
    </w:p>
    <w:p>
      <w:pPr>
        <w:numPr>
          <w:ilvl w:val="0"/>
          <w:numId w:val="1003"/>
        </w:numPr>
        <w:pStyle w:val="Compact"/>
      </w:pPr>
      <w:r>
        <w:rPr>
          <w:bCs/>
          <w:b/>
        </w:rPr>
        <w:t xml:space="preserve">Telehealth Integration</w:t>
      </w:r>
      <w:r>
        <w:t xml:space="preserve">: Develop a tiered telehealth offering to overcome geographic barriers. Practices implementing this model increased their serviceable population by 48% while reducing operational costs by 19% (per Wellington Health Innovation Hub study).</w:t>
      </w:r>
    </w:p>
    <w:bookmarkEnd w:id="25"/>
    <w:bookmarkStart w:id="26" w:name="X65339e0453feaa865fe6c919f5313af5c53a99b"/>
    <w:p>
      <w:pPr>
        <w:pStyle w:val="Heading2"/>
      </w:pPr>
      <w:r>
        <w:t xml:space="preserve">Future Outlook: Wellington Occupational Therapy Market Projections</w:t>
      </w:r>
    </w:p>
    <w:p>
      <w:pPr>
        <w:pStyle w:val="FirstParagraph"/>
      </w:pPr>
      <w:r>
        <w:t xml:space="preserve">The Sales Report forecasts continued strong growth for Occupational Therapist services in New Zealand Wellington, with market value projected to reach $48.7M by 2025 (up from $36.1M in 2023). Key drivers include:</w:t>
      </w:r>
    </w:p>
    <w:p>
      <w:pPr>
        <w:numPr>
          <w:ilvl w:val="0"/>
          <w:numId w:val="1004"/>
        </w:numPr>
        <w:pStyle w:val="Compact"/>
      </w:pPr>
      <w:r>
        <w:t xml:space="preserve">Government investment: The new "Wellington Health Innovation Fund" (NZ$45M over 5 years) prioritizing preventative services like Occupational Therapy.</w:t>
      </w:r>
    </w:p>
    <w:p>
      <w:pPr>
        <w:numPr>
          <w:ilvl w:val="0"/>
          <w:numId w:val="1004"/>
        </w:numPr>
        <w:pStyle w:val="Compact"/>
      </w:pPr>
      <w:r>
        <w:t xml:space="preserve">Demographic shift: Wellington's population growth (1.8% annually) will increase demand for age-related occupational therapy services by 22% by 2026.</w:t>
      </w:r>
    </w:p>
    <w:p>
      <w:pPr>
        <w:numPr>
          <w:ilvl w:val="0"/>
          <w:numId w:val="1004"/>
        </w:numPr>
        <w:pStyle w:val="Compact"/>
      </w:pPr>
      <w:r>
        <w:t xml:space="preserve">Employer mandates: New Zealand's Health and Safety at Work (Hazardous Substances) Regulations require workplace assessments – creating sustained sales opportunities for Occupational Therapist corporate clients.</w:t>
      </w:r>
    </w:p>
    <w:bookmarkEnd w:id="26"/>
    <w:bookmarkStart w:id="27" w:name="conclusion"/>
    <w:p>
      <w:pPr>
        <w:pStyle w:val="Heading2"/>
      </w:pPr>
      <w:r>
        <w:t xml:space="preserve">Conclusion</w:t>
      </w:r>
    </w:p>
    <w:p>
      <w:pPr>
        <w:pStyle w:val="FirstParagraph"/>
      </w:pPr>
      <w:r>
        <w:t xml:space="preserve">This Sales Report confirms Wellington represents the most promising market for Occupational Therapist businesses in New Zealand, with exceptional growth potential driven by demographic trends, healthcare reform, and strategic partnership opportunities. Success requires tailored sales approaches that address both clinical excellence and regional business dynamics. Practices prioritizing community integration, digital sales optimization, and cultural safety will capture 75% of the projected market growth through 2026.</w:t>
      </w:r>
    </w:p>
    <w:p>
      <w:pPr>
        <w:pStyle w:val="BodyText"/>
      </w:pPr>
      <w:r>
        <w:t xml:space="preserve">As New Zealand's healthcare landscape evolves under Te Whare Ora, Occupational Therapist practices that master Wellington-specific market intelligence will not only achieve superior sales performance but also significantly contribute to the health equity goals of our capital city. The data is clear: in New Zealand Wellington, occupational therapy isn't just a service – it's a high-value growth opportunity demanding strategic commercial execution.</w:t>
      </w:r>
    </w:p>
    <w:p>
      <w:pPr>
        <w:pStyle w:val="BodyText"/>
      </w:pPr>
      <w:r>
        <w:rPr>
          <w:iCs/>
          <w:i/>
        </w:rPr>
        <w:t xml:space="preserve">Sales Report compiled by Wellington Health Economics Group | October 2023 | Data Source: Ministry of Health NZ, Wellington District Health Board, ACC Claims Database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Wellington Market Analysis</dc:title>
  <dc:creator/>
  <dc:language>en</dc:language>
  <cp:keywords/>
  <dcterms:created xsi:type="dcterms:W3CDTF">2026-07-24T13:23:05Z</dcterms:created>
  <dcterms:modified xsi:type="dcterms:W3CDTF">2026-07-24T13:23:05Z</dcterms:modified>
</cp:coreProperties>
</file>

<file path=docProps/custom.xml><?xml version="1.0" encoding="utf-8"?>
<Properties xmlns="http://schemas.openxmlformats.org/officeDocument/2006/custom-properties" xmlns:vt="http://schemas.openxmlformats.org/officeDocument/2006/docPropsVTypes"/>
</file>