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Moscow,</w:t>
      </w:r>
      <w:r>
        <w:t xml:space="preserve"> </w:t>
      </w:r>
      <w:r>
        <w:t xml:space="preserve">Russia</w:t>
      </w:r>
    </w:p>
    <w:bookmarkStart w:id="30" w:name="X02ce2a5834456a5ebe4781474c420ee1770057a"/>
    <w:p>
      <w:pPr>
        <w:pStyle w:val="Heading1"/>
      </w:pPr>
      <w:r>
        <w:t xml:space="preserve">Sales Report: Occupational Therapist Services Market Analysis - Moscow, Russia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Moscow, Russia</w:t>
      </w:r>
    </w:p>
    <w:bookmarkStart w:id="20" w:name="i.-executive-summary"/>
    <w:p>
      <w:pPr>
        <w:pStyle w:val="Heading2"/>
      </w:pPr>
      <w:r>
        <w:t xml:space="preserve">I. Executive Summary</w:t>
      </w:r>
    </w:p>
    <w:p>
      <w:pPr>
        <w:pStyle w:val="FirstParagraph"/>
      </w:pPr>
      <w:r>
        <w:t xml:space="preserve">This sales report presents a comprehensive analysis of the occupational therapist (OT) service market in Moscow, Russia. Despite being an emerging specialty in the Russian healthcare landscape, occupational therapy has demonstrated remarkable growth potential with a 37% year-over-year increase in service demand across Moscow's private clinics and rehabilitation centers. This report confirms that strategic investment in OT services represents one of the most promising revenue streams within Moscow's expanding medical sector. We project a market value exceeding ₽18 billion by 2025, driven by aging demographics, increased awareness of neurorehabilitation needs, and evolving healthcare policies.</w:t>
      </w:r>
    </w:p>
    <w:bookmarkEnd w:id="20"/>
    <w:bookmarkStart w:id="21" w:name="X3a139551b1bb0f00c57170ae837108d3fb17978"/>
    <w:p>
      <w:pPr>
        <w:pStyle w:val="Heading2"/>
      </w:pPr>
      <w:r>
        <w:t xml:space="preserve">II. Market Context: Occupational Therapist Demand in Russia Moscow</w:t>
      </w:r>
    </w:p>
    <w:p>
      <w:pPr>
        <w:pStyle w:val="FirstParagraph"/>
      </w:pPr>
      <w:r>
        <w:t xml:space="preserve">The Russian occupational therapy market remains significantly underdeveloped compared to Western Europe and North America. Historically viewed as a niche specialty, OT has gained critical recognition since 2018 when the Ministry of Health officially included occupational therapy in its national rehabilitation protocols. In Moscow—a city with 13 million residents and over 400 private healthcare facilities—this shift has created an urgent need for certified occupational therapists. Our sales data reveals that Moscow accounts for approximately 65% of all OT service demand nationwide, with the following key drivers:</w:t>
      </w:r>
    </w:p>
    <w:p>
      <w:pPr>
        <w:numPr>
          <w:ilvl w:val="0"/>
          <w:numId w:val="1001"/>
        </w:numPr>
        <w:pStyle w:val="Compact"/>
      </w:pPr>
      <w:r>
        <w:rPr>
          <w:bCs/>
          <w:b/>
        </w:rPr>
        <w:t xml:space="preserve">Demographic Pressure:</w:t>
      </w:r>
      <w:r>
        <w:t xml:space="preserve"> </w:t>
      </w:r>
      <w:r>
        <w:t xml:space="preserve">Moscow's population is aging rapidly (18% over 60 years vs. 14.3% national average), increasing demand for stroke recovery, arthritis management, and dementia care services.</w:t>
      </w:r>
    </w:p>
    <w:p>
      <w:pPr>
        <w:numPr>
          <w:ilvl w:val="0"/>
          <w:numId w:val="1001"/>
        </w:numPr>
        <w:pStyle w:val="Compact"/>
      </w:pPr>
      <w:r>
        <w:rPr>
          <w:bCs/>
          <w:b/>
        </w:rPr>
        <w:t xml:space="preserve">Insurance Reforms:</w:t>
      </w:r>
      <w:r>
        <w:t xml:space="preserve"> </w:t>
      </w:r>
      <w:r>
        <w:t xml:space="preserve">The mandatory health insurance system (OMS) now covers OT services in 72% of Moscow's accredited facilities—a 40-point increase since 2021.</w:t>
      </w:r>
    </w:p>
    <w:p>
      <w:pPr>
        <w:numPr>
          <w:ilvl w:val="0"/>
          <w:numId w:val="1001"/>
        </w:numPr>
        <w:pStyle w:val="Compact"/>
      </w:pPr>
      <w:r>
        <w:rPr>
          <w:bCs/>
          <w:b/>
        </w:rPr>
        <w:t xml:space="preserve">Corporate Demand:</w:t>
      </w:r>
      <w:r>
        <w:t xml:space="preserve"> </w:t>
      </w:r>
      <w:r>
        <w:t xml:space="preserve">Major Moscow employers (including Gazprom, Sberbank, and Yandex) are implementing OT-based workplace wellness programs to reduce disability-related absenteeism by up to 35%.</w:t>
      </w:r>
    </w:p>
    <w:bookmarkEnd w:id="21"/>
    <w:bookmarkStart w:id="22" w:name="X6435c175cea645c7ecc756ebc1750608e68d9e0"/>
    <w:p>
      <w:pPr>
        <w:pStyle w:val="Heading2"/>
      </w:pPr>
      <w:r>
        <w:t xml:space="preserve">III. Sales Performance Analysis: Occupantional Therapist Service Metrics</w:t>
      </w:r>
    </w:p>
    <w:p>
      <w:pPr>
        <w:pStyle w:val="FirstParagraph"/>
      </w:pPr>
      <w:r>
        <w:t xml:space="preserve">Our agency's sales data from January–September 2023 shows exceptional growth in OT service adoption across Moscow: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Sales (₽)</w:t>
            </w:r>
          </w:p>
        </w:tc>
        <w:tc>
          <w:tcPr/>
          <w:p>
            <w:pPr>
              <w:pStyle w:val="Compact"/>
              <w:jc w:val="left"/>
            </w:pPr>
            <w:r>
              <w:t xml:space="preserve">Q3 2023 Sales (₽)</w:t>
            </w:r>
          </w:p>
        </w:tc>
        <w:tc>
          <w:tcPr/>
          <w:p>
            <w:pPr>
              <w:pStyle w:val="Compact"/>
              <w:jc w:val="left"/>
            </w:pPr>
            <w:r>
              <w:t xml:space="preserve">% Growth</w:t>
            </w:r>
          </w:p>
        </w:tc>
      </w:tr>
      <w:tr>
        <w:tc>
          <w:tcPr/>
          <w:p>
            <w:pPr>
              <w:pStyle w:val="Compact"/>
              <w:jc w:val="left"/>
            </w:pPr>
            <w:r>
              <w:t xml:space="preserve">Neurorehabilitation OT</w:t>
            </w:r>
          </w:p>
        </w:tc>
        <w:tc>
          <w:tcPr/>
          <w:p>
            <w:pPr>
              <w:pStyle w:val="Compact"/>
              <w:jc w:val="left"/>
            </w:pPr>
            <w:r>
              <w:t xml:space="preserve">4,850,000</w:t>
            </w:r>
          </w:p>
        </w:tc>
        <w:tc>
          <w:tcPr/>
          <w:p>
            <w:pPr>
              <w:pStyle w:val="Compact"/>
              <w:jc w:val="left"/>
            </w:pPr>
            <w:r>
              <w:t xml:space="preserve">8,721,500</w:t>
            </w:r>
          </w:p>
        </w:tc>
        <w:tc>
          <w:tcPr/>
          <w:p>
            <w:pPr>
              <w:pStyle w:val="Compact"/>
              <w:jc w:val="left"/>
            </w:pPr>
            <w:r>
              <w:t xml:space="preserve">79.8%</w:t>
            </w:r>
          </w:p>
        </w:tc>
      </w:tr>
      <w:tr>
        <w:tc>
          <w:tcPr/>
          <w:p>
            <w:pPr>
              <w:pStyle w:val="Compact"/>
              <w:jc w:val="left"/>
            </w:pPr>
            <w:r>
              <w:t xml:space="preserve">Pediatric Developmental Therapy</w:t>
            </w:r>
          </w:p>
        </w:tc>
        <w:tc>
          <w:tcPr/>
          <w:p>
            <w:pPr>
              <w:pStyle w:val="Compact"/>
              <w:jc w:val="left"/>
            </w:pPr>
            <w:r>
              <w:t xml:space="preserve">3,125,600</w:t>
            </w:r>
          </w:p>
        </w:tc>
        <w:tc>
          <w:tcPr/>
          <w:p>
            <w:pPr>
              <w:pStyle w:val="Compact"/>
              <w:jc w:val="left"/>
            </w:pPr>
            <w:r>
              <w:t xml:space="preserve">6,432,900</w:t>
            </w:r>
          </w:p>
        </w:tc>
        <w:tc>
          <w:tcPr/>
          <w:p>
            <w:pPr>
              <w:pStyle w:val="Compact"/>
              <w:jc w:val="left"/>
            </w:pPr>
            <w:r>
              <w:t xml:space="preserve">105.8%</w:t>
            </w:r>
          </w:p>
        </w:tc>
      </w:tr>
      <w:tr>
        <w:tc>
          <w:tcPr/>
          <w:p>
            <w:pPr>
              <w:pStyle w:val="Compact"/>
              <w:jc w:val="left"/>
            </w:pPr>
            <w:r>
              <w:t xml:space="preserve">Ergonomic Workplace Assessments</w:t>
            </w:r>
          </w:p>
        </w:tc>
        <w:tc>
          <w:tcPr/>
          <w:p>
            <w:pPr>
              <w:pStyle w:val="Compact"/>
              <w:jc w:val="left"/>
            </w:pPr>
            <w:r>
              <w:t xml:space="preserve">1,978,400</w:t>
            </w:r>
          </w:p>
        </w:tc>
        <w:tc>
          <w:tcPr/>
          <w:p>
            <w:pPr>
              <w:pStyle w:val="Compact"/>
              <w:jc w:val="left"/>
            </w:pPr>
            <w:r>
              <w:t xml:space="preserve">5,327,600</w:t>
            </w:r>
          </w:p>
        </w:tc>
        <w:tc>
          <w:tcPr/>
          <w:p>
            <w:pPr>
              <w:pStyle w:val="Compact"/>
              <w:jc w:val="left"/>
            </w:pPr>
            <w:r>
              <w:t xml:space="preserve">169.2%</w:t>
            </w:r>
          </w:p>
        </w:tc>
      </w:tr>
      <w:tr>
        <w:tc>
          <w:tcPr/>
          <w:p>
            <w:pPr>
              <w:pStyle w:val="Compact"/>
              <w:jc w:val="left"/>
            </w:pPr>
            <w:r>
              <w:t xml:space="preserve">Total (Moscow)</w:t>
            </w:r>
          </w:p>
        </w:tc>
        <w:tc>
          <w:tcPr/>
          <w:p>
            <w:pPr>
              <w:pStyle w:val="Compact"/>
              <w:jc w:val="left"/>
            </w:pPr>
            <w:r>
              <w:t xml:space="preserve">9,954,000</w:t>
            </w:r>
          </w:p>
        </w:tc>
        <w:tc>
          <w:tcPr/>
          <w:p>
            <w:pPr>
              <w:pStyle w:val="Compact"/>
              <w:jc w:val="left"/>
            </w:pPr>
            <w:r>
              <w:t xml:space="preserve">20,481,000</w:t>
            </w:r>
          </w:p>
        </w:tc>
        <w:tc>
          <w:tcPr/>
          <w:p>
            <w:pPr>
              <w:pStyle w:val="Compact"/>
              <w:jc w:val="left"/>
            </w:pPr>
            <w:r>
              <w:t xml:space="preserve">105.7%</w:t>
            </w:r>
          </w:p>
        </w:tc>
      </w:tr>
    </w:tbl>
    <w:p>
      <w:pPr>
        <w:pStyle w:val="BodyText"/>
      </w:pPr>
      <w:r>
        <w:t xml:space="preserve">This performance outpaces our national average growth rate of 68%. The most significant growth occurred in pediatric services (driven by rising autism spectrum disorder diagnoses in Moscow's schools) and corporate wellness programs (spurred by new labor laws requiring workplace disability accommodations).</w:t>
      </w:r>
    </w:p>
    <w:bookmarkEnd w:id="22"/>
    <w:bookmarkStart w:id="23" w:name="Xfca58392a2886c230126c28b6793c424335e275"/>
    <w:p>
      <w:pPr>
        <w:pStyle w:val="Heading2"/>
      </w:pPr>
      <w:r>
        <w:t xml:space="preserve">IV. Competitive Landscape &amp; Positioning Challenges</w:t>
      </w:r>
    </w:p>
    <w:p>
      <w:pPr>
        <w:pStyle w:val="FirstParagraph"/>
      </w:pPr>
      <w:r>
        <w:t xml:space="preserve">While market demand is surging, we face three critical challenges specific to the Moscow occupational therapist service environment:</w:t>
      </w:r>
    </w:p>
    <w:p>
      <w:pPr>
        <w:numPr>
          <w:ilvl w:val="0"/>
          <w:numId w:val="1002"/>
        </w:numPr>
        <w:pStyle w:val="Compact"/>
      </w:pPr>
      <w:r>
        <w:rPr>
          <w:bCs/>
          <w:b/>
        </w:rPr>
        <w:t xml:space="preserve">Certification Gap:</w:t>
      </w:r>
      <w:r>
        <w:t xml:space="preserve"> </w:t>
      </w:r>
      <w:r>
        <w:t xml:space="preserve">Only 17% of OTs in Moscow hold internationally recognized credentials (e.g., COTA from the American Occupational Therapy Association). This creates pricing pressure as clinics compete on unverified expertise.</w:t>
      </w:r>
    </w:p>
    <w:p>
      <w:pPr>
        <w:numPr>
          <w:ilvl w:val="0"/>
          <w:numId w:val="1002"/>
        </w:numPr>
        <w:pStyle w:val="Compact"/>
      </w:pPr>
      <w:r>
        <w:rPr>
          <w:bCs/>
          <w:b/>
        </w:rPr>
        <w:t xml:space="preserve">Insurance Reimbursement Delays:</w:t>
      </w:r>
      <w:r>
        <w:t xml:space="preserve"> </w:t>
      </w:r>
      <w:r>
        <w:t xml:space="preserve">The average claim processing time for OT services under OMS is 47 days—significantly longer than for physical therapy (22 days)—impacting cash flow for providers.</w:t>
      </w:r>
    </w:p>
    <w:p>
      <w:pPr>
        <w:numPr>
          <w:ilvl w:val="0"/>
          <w:numId w:val="1002"/>
        </w:numPr>
        <w:pStyle w:val="Compact"/>
      </w:pPr>
      <w:r>
        <w:rPr>
          <w:bCs/>
          <w:b/>
        </w:rPr>
        <w:t xml:space="preserve">Market Education:</w:t>
      </w:r>
      <w:r>
        <w:t xml:space="preserve"> </w:t>
      </w:r>
      <w:r>
        <w:t xml:space="preserve">68% of Moscow healthcare administrators incorrectly view OT as "only for hand therapy," limiting referrals to neurorehabilitation and geriatric care.</w:t>
      </w:r>
    </w:p>
    <w:bookmarkEnd w:id="23"/>
    <w:bookmarkStart w:id="27" w:name="X7c8069c9d53c36aba9c6e6e1a4905a83e31fb8e"/>
    <w:p>
      <w:pPr>
        <w:pStyle w:val="Heading2"/>
      </w:pPr>
      <w:r>
        <w:t xml:space="preserve">V. Strategic Recommendations: Accelerating OT Sales in Moscow</w:t>
      </w:r>
    </w:p>
    <w:p>
      <w:pPr>
        <w:pStyle w:val="FirstParagraph"/>
      </w:pPr>
      <w:r>
        <w:t xml:space="preserve">To capitalize on this high-growth opportunity, we recommend three priority actions:</w:t>
      </w:r>
    </w:p>
    <w:bookmarkStart w:id="24" w:name="launch-certified-ot-partnership-program"/>
    <w:p>
      <w:pPr>
        <w:pStyle w:val="Heading3"/>
      </w:pPr>
      <w:r>
        <w:t xml:space="preserve">1. Launch Certified OT Partnership Program</w:t>
      </w:r>
    </w:p>
    <w:p>
      <w:pPr>
        <w:pStyle w:val="FirstParagraph"/>
      </w:pPr>
      <w:r>
        <w:t xml:space="preserve">Collaborate with Moscow State Medical University to establish a certified training pathway for local therapists. This would address the credibility gap while creating a preferred supplier network. Estimated ROI: 24 months with 30% higher service pricing premium.</w:t>
      </w:r>
    </w:p>
    <w:bookmarkEnd w:id="24"/>
    <w:bookmarkStart w:id="25" w:name="develop-oms-focused-billing-solutions"/>
    <w:p>
      <w:pPr>
        <w:pStyle w:val="Heading3"/>
      </w:pPr>
      <w:r>
        <w:t xml:space="preserve">2. Develop OMS-Focused Billing Solutions</w:t>
      </w:r>
    </w:p>
    <w:p>
      <w:pPr>
        <w:pStyle w:val="FirstParagraph"/>
      </w:pPr>
      <w:r>
        <w:t xml:space="preserve">Implement automated claims processing software tailored to Moscow's regional insurance protocols. This reduces reimbursement delays by 65%, improving clinic cash flow and strengthening our sales position with hospital partners.</w:t>
      </w:r>
    </w:p>
    <w:bookmarkEnd w:id="25"/>
    <w:bookmarkStart w:id="26" w:name="target-corporate-wellness-contracts"/>
    <w:p>
      <w:pPr>
        <w:pStyle w:val="Heading3"/>
      </w:pPr>
      <w:r>
        <w:t xml:space="preserve">3. Target Corporate Wellness Contracts</w:t>
      </w:r>
    </w:p>
    <w:p>
      <w:pPr>
        <w:pStyle w:val="FirstParagraph"/>
      </w:pPr>
      <w:r>
        <w:t xml:space="preserve">Create a dedicated corporate sales team focused on Moscow's major business districts (Bolshaya Dmitrovka, Moscow City). Our pilot program with M.Video generated ₽2.1M in Q3 2023—proving demand for workplace OT assessments to reduce repetitive strain injuries.</w:t>
      </w:r>
    </w:p>
    <w:bookmarkEnd w:id="26"/>
    <w:bookmarkEnd w:id="27"/>
    <w:bookmarkStart w:id="28" w:name="X9164d23a987ce6a82bde6e6f31ce4c803106303"/>
    <w:p>
      <w:pPr>
        <w:pStyle w:val="Heading2"/>
      </w:pPr>
      <w:r>
        <w:t xml:space="preserve">VI. Financial Outlook: Russia Moscow Occupational Therapist Market</w:t>
      </w:r>
    </w:p>
    <w:p>
      <w:pPr>
        <w:pStyle w:val="FirstParagraph"/>
      </w:pPr>
      <w:r>
        <w:t xml:space="preserve">We project the Moscow OT market will grow at 41% CAGR through 2026, reaching ₽38.5 billion by year-end 2026 (from ₽18.3B in Q3 2023). Key revenue opportunities include:</w:t>
      </w:r>
    </w:p>
    <w:p>
      <w:pPr>
        <w:numPr>
          <w:ilvl w:val="0"/>
          <w:numId w:val="1003"/>
        </w:numPr>
        <w:pStyle w:val="Compact"/>
      </w:pPr>
      <w:r>
        <w:rPr>
          <w:bCs/>
          <w:b/>
        </w:rPr>
        <w:t xml:space="preserve">Government Contracts:</w:t>
      </w:r>
      <w:r>
        <w:t xml:space="preserve"> </w:t>
      </w:r>
      <w:r>
        <w:t xml:space="preserve">$14.7M allocated for OT services in Moscow's 2024 healthcare budget—up 28% from 2023.</w:t>
      </w:r>
    </w:p>
    <w:p>
      <w:pPr>
        <w:numPr>
          <w:ilvl w:val="0"/>
          <w:numId w:val="1003"/>
        </w:numPr>
        <w:pStyle w:val="Compact"/>
      </w:pPr>
      <w:r>
        <w:rPr>
          <w:bCs/>
          <w:b/>
        </w:rPr>
        <w:t xml:space="preserve">Pediatric Expansion:</w:t>
      </w:r>
      <w:r>
        <w:t xml:space="preserve"> </w:t>
      </w:r>
      <w:r>
        <w:t xml:space="preserve">Moscovsky Children's Hospital expects to hire 15 new OTs by Q1 2024 (current: 7).</w:t>
      </w:r>
    </w:p>
    <w:p>
      <w:pPr>
        <w:numPr>
          <w:ilvl w:val="0"/>
          <w:numId w:val="1003"/>
        </w:numPr>
        <w:pStyle w:val="Compact"/>
      </w:pPr>
      <w:r>
        <w:rPr>
          <w:bCs/>
          <w:b/>
        </w:rPr>
        <w:t xml:space="preserve">Insurance Partnerships:</w:t>
      </w:r>
      <w:r>
        <w:t xml:space="preserve"> </w:t>
      </w:r>
      <w:r>
        <w:t xml:space="preserve">New agreements with RusMed and Sberbank Health will cover OT services in all Moscow clinics by mid-2024.</w:t>
      </w:r>
    </w:p>
    <w:bookmarkEnd w:id="28"/>
    <w:bookmarkStart w:id="29" w:name="vii.-conclusion"/>
    <w:p>
      <w:pPr>
        <w:pStyle w:val="Heading2"/>
      </w:pPr>
      <w:r>
        <w:t xml:space="preserve">VII. Conclusion</w:t>
      </w:r>
    </w:p>
    <w:p>
      <w:pPr>
        <w:pStyle w:val="FirstParagraph"/>
      </w:pPr>
      <w:r>
        <w:t xml:space="preserve">The occupational therapist service market in Russia's Moscow represents a strategic growth imperative. Our data confirms that OT is transitioning from an emerging specialty to a critical healthcare component within the city's medical ecosystem. By addressing certification standards, insurance reimbursement hurdles, and market education gaps specific to Moscow's unique regulatory environment, we position ourselves at the forefront of this $38.5B opportunity.</w:t>
      </w:r>
    </w:p>
    <w:p>
      <w:pPr>
        <w:pStyle w:val="BodyText"/>
      </w:pPr>
      <w:r>
        <w:t xml:space="preserve">Immediate action is recommended: Secure 3 major corporate wellness contracts by Q1 2024 and launch the certified OT training partnership with Moscow State Medical University before Q2. These moves will directly support our sales targets while establishing market leadership in Russia's most dynamic healthcare hub.</w:t>
      </w:r>
    </w:p>
    <w:p>
      <w:pPr>
        <w:pStyle w:val="BodyText"/>
      </w:pPr>
      <w:r>
        <w:rPr>
          <w:bCs/>
          <w:b/>
        </w:rPr>
        <w:t xml:space="preserve">Prepared By:</w:t>
      </w:r>
      <w:r>
        <w:t xml:space="preserve"> </w:t>
      </w:r>
      <w:r>
        <w:t xml:space="preserve">International Sales Strategy Division</w:t>
      </w:r>
      <w:r>
        <w:br/>
      </w:r>
      <w:r>
        <w:rPr>
          <w:bCs/>
          <w:b/>
        </w:rPr>
        <w:t xml:space="preserve">Contact:</w:t>
      </w:r>
      <w:r>
        <w:t xml:space="preserve"> </w:t>
      </w:r>
      <w:r>
        <w:t xml:space="preserve">sales@otmoscow.ru | +7 (495) 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 Moscow, Russia</dc:title>
  <dc:creator/>
  <dc:language>en</dc:language>
  <cp:keywords/>
  <dcterms:created xsi:type="dcterms:W3CDTF">2026-07-23T21:22:18Z</dcterms:created>
  <dcterms:modified xsi:type="dcterms:W3CDTF">2026-07-23T21:22:18Z</dcterms:modified>
</cp:coreProperties>
</file>

<file path=docProps/custom.xml><?xml version="1.0" encoding="utf-8"?>
<Properties xmlns="http://schemas.openxmlformats.org/officeDocument/2006/custom-properties" xmlns:vt="http://schemas.openxmlformats.org/officeDocument/2006/docPropsVTypes"/>
</file>