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7" w:name="Xb226fa92d8d795c4806254cfdac0a21e864476e"/>
    <w:p>
      <w:pPr>
        <w:pStyle w:val="Heading1"/>
      </w:pPr>
      <w:r>
        <w:t xml:space="preserve">Sales Report: Occupational Therapist Services in Singapore Singapore Market</w:t>
      </w:r>
    </w:p>
    <w:bookmarkStart w:id="20" w:name="executive-summary"/>
    <w:p>
      <w:pPr>
        <w:pStyle w:val="Heading2"/>
      </w:pPr>
      <w:r>
        <w:t xml:space="preserve">Executive Summary</w:t>
      </w:r>
    </w:p>
    <w:p>
      <w:pPr>
        <w:pStyle w:val="FirstParagraph"/>
      </w:pPr>
      <w:r>
        <w:t xml:space="preserve">This comprehensive Sales Report details the performance and strategic outlook for Occupational Therapist (OT) services within the Singapore Singapore healthcare ecosystem. The report demonstrates significant market growth, rising demand across key demographics, and our organization's successful positioning as a leading provider of occupational therapy solutions. With Singapore's aging population and evolving healthcare priorities, Occupational Therapist services have emerged as critical interventions driving quality-of-life improvements across diverse client segments. Our sales data from Q1-Q3 2023 reveals a 34% year-on-year revenue increase, confirming the strategic importance of our OT offerings in this dynamic market.</w:t>
      </w:r>
    </w:p>
    <w:bookmarkEnd w:id="20"/>
    <w:bookmarkStart w:id="21" w:name="X1d31e688d8b46d1e0f54f719df3ab2a1738580f"/>
    <w:p>
      <w:pPr>
        <w:pStyle w:val="Heading2"/>
      </w:pPr>
      <w:r>
        <w:t xml:space="preserve">Market Analysis: Occupational Therapist Demand in Singapore Singapore</w:t>
      </w:r>
    </w:p>
    <w:p>
      <w:pPr>
        <w:pStyle w:val="FirstParagraph"/>
      </w:pPr>
      <w:r>
        <w:t xml:space="preserve">The Singapore Singapore healthcare landscape has experienced unprecedented growth in occupational therapy requirements. According to the Ministry of Health (MOH) 2023 Annual Report, demand for Occupational Therapist services has surged by 41% over the past three years, driven primarily by two demographic shifts: (1) The rapidly aging population (projected to constitute 25% of Singaporeans by 2030), and (2) Rising pediatric neurodevelopmental diagnoses. In Singapore Singapore specifically, the National Council for Social Service reports that over 87% of healthcare institutions now mandate Occupational Therapist input in their care pathways.</w:t>
      </w:r>
    </w:p>
    <w:p>
      <w:pPr>
        <w:pStyle w:val="BodyText"/>
      </w:pPr>
      <w:r>
        <w:t xml:space="preserve">Our Sales Report identifies three dominant market segments generating substantial revenue:</w:t>
      </w:r>
    </w:p>
    <w:p>
      <w:pPr>
        <w:numPr>
          <w:ilvl w:val="0"/>
          <w:numId w:val="1001"/>
        </w:numPr>
        <w:pStyle w:val="Compact"/>
      </w:pPr>
      <w:r>
        <w:rPr>
          <w:bCs/>
          <w:b/>
        </w:rPr>
        <w:t xml:space="preserve">Elderly Care Facilities</w:t>
      </w:r>
      <w:r>
        <w:t xml:space="preserve">: Accounting for 42% of OT service uptake, with demand fueled by MOH's "Active Ageing" initiatives requiring personalized occupational therapy programs to maintain independence.</w:t>
      </w:r>
    </w:p>
    <w:p>
      <w:pPr>
        <w:numPr>
          <w:ilvl w:val="0"/>
          <w:numId w:val="1001"/>
        </w:numPr>
        <w:pStyle w:val="Compact"/>
      </w:pPr>
      <w:r>
        <w:rPr>
          <w:bCs/>
          <w:b/>
        </w:rPr>
        <w:t xml:space="preserve">Pediatric Clinics</w:t>
      </w:r>
      <w:r>
        <w:t xml:space="preserve">: Representing 31% of our client base, driven by Singapore Singapore's National Early Intervention Programme (NEIP) expansion and increased autism spectrum disorder diagnoses.</w:t>
      </w:r>
    </w:p>
    <w:p>
      <w:pPr>
        <w:numPr>
          <w:ilvl w:val="0"/>
          <w:numId w:val="1001"/>
        </w:numPr>
        <w:pStyle w:val="Compact"/>
      </w:pPr>
      <w:r>
        <w:t xml:space="preserve">Corporate Wellness Programs</w:t>
      </w:r>
    </w:p>
    <w:p>
      <w:pPr>
        <w:numPr>
          <w:ilvl w:val="0"/>
          <w:numId w:val="1000"/>
        </w:numPr>
        <w:pStyle w:val="Compact"/>
      </w:pPr>
      <w:r>
        <w:t xml:space="preserve">: Growing at 28% annually as companies adopt workplace rehabilitation strategies following MOH's "Healthy Workplace" certification scheme.</w:t>
      </w:r>
    </w:p>
    <w:bookmarkEnd w:id="21"/>
    <w:bookmarkStart w:id="22" w:name="sales-performance-highlights"/>
    <w:p>
      <w:pPr>
        <w:pStyle w:val="Heading2"/>
      </w:pPr>
      <w:r>
        <w:t xml:space="preserve">Sales Performance Highlights</w:t>
      </w:r>
    </w:p>
    <w:p>
      <w:pPr>
        <w:pStyle w:val="FirstParagraph"/>
      </w:pPr>
      <w:r>
        <w:t xml:space="preserve">The Singapore Singapore Occupational Therapist service line has delivered exceptional results in the current fiscal year: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(SGD)</w:t>
            </w:r>
          </w:p>
        </w:tc>
        <w:tc>
          <w:tcPr/>
          <w:p>
            <w:pPr>
              <w:pStyle w:val="Compact"/>
              <w:jc w:val="left"/>
            </w:pPr>
            <w:r>
              <w:t xml:space="preserve">Client Acquisition Growth</w:t>
            </w:r>
          </w:p>
        </w:tc>
        <w:tc>
          <w:tcPr/>
          <w:p>
            <w:pPr>
              <w:pStyle w:val="Compact"/>
              <w:jc w:val="left"/>
            </w:pPr>
            <w:r>
              <w:t xml:space="preserve">New Partnerships Secured</w:t>
            </w:r>
          </w:p>
        </w:tc>
      </w:tr>
      <w:tr>
        <w:tc>
          <w:tcPr/>
          <w:p>
            <w:pPr>
              <w:pStyle w:val="Compact"/>
              <w:jc w:val="left"/>
            </w:pPr>
            <w:r>
              <w:t xml:space="preserve">Q1 2023</w:t>
            </w:r>
          </w:p>
        </w:tc>
        <w:tc>
          <w:tcPr/>
          <w:p>
            <w:pPr>
              <w:pStyle w:val="Compact"/>
              <w:jc w:val="left"/>
            </w:pPr>
            <w:r>
              <w:t xml:space="preserve">S$1,450,000</w:t>
            </w:r>
          </w:p>
        </w:tc>
        <w:tc>
          <w:tcPr/>
          <w:p>
            <w:pPr>
              <w:pStyle w:val="Compact"/>
              <w:jc w:val="left"/>
            </w:pPr>
            <w:r>
              <w:t xml:space="preserve">18%</w:t>
            </w:r>
          </w:p>
        </w:tc>
        <w:tc>
          <w:tcPr/>
          <w:p>
            <w:pPr>
              <w:pStyle w:val="Compact"/>
              <w:jc w:val="left"/>
            </w:pPr>
            <w:r>
              <w:t xml:space="preserve">7 (including 3 public healthcare clusters)</w:t>
            </w:r>
          </w:p>
        </w:tc>
      </w:tr>
      <w:tr>
        <w:tc>
          <w:tcPr/>
          <w:p>
            <w:pPr>
              <w:pStyle w:val="Compact"/>
              <w:jc w:val="left"/>
            </w:pPr>
            <w:r>
              <w:t xml:space="preserve">Q2 2023</w:t>
            </w:r>
          </w:p>
        </w:tc>
        <w:tc>
          <w:tcPr/>
          <w:p>
            <w:pPr>
              <w:pStyle w:val="Compact"/>
              <w:jc w:val="left"/>
            </w:pPr>
            <w:r>
              <w:t xml:space="preserve">S$1,789,500</w:t>
            </w:r>
          </w:p>
        </w:tc>
        <w:tc>
          <w:tcPr/>
          <w:p>
            <w:pPr>
              <w:pStyle w:val="Compact"/>
              <w:jc w:val="left"/>
            </w:pPr>
            <w:r>
              <w:t xml:space="preserve">24%</w:t>
            </w:r>
          </w:p>
        </w:tc>
        <w:tc>
          <w:tcPr/>
          <w:p>
            <w:pPr>
              <w:pStyle w:val="Compact"/>
              <w:jc w:val="left"/>
            </w:pPr>
            <w:r>
              <w:t xml:space="preserve">11 (including 4 private hospital networks)</w:t>
            </w:r>
          </w:p>
        </w:tc>
      </w:tr>
      <w:tr>
        <w:tc>
          <w:tcPr/>
          <w:p>
            <w:pPr>
              <w:pStyle w:val="Compact"/>
              <w:jc w:val="left"/>
            </w:pPr>
            <w:r>
              <w:t xml:space="preserve">Q3 2023</w:t>
            </w:r>
          </w:p>
        </w:tc>
        <w:tc>
          <w:tcPr/>
          <w:p>
            <w:pPr>
              <w:pStyle w:val="Compact"/>
              <w:jc w:val="left"/>
            </w:pPr>
            <w:r>
              <w:t xml:space="preserve">S$2,156,800</w:t>
            </w:r>
          </w:p>
        </w:tc>
        <w:tc>
          <w:tcPr/>
          <w:p>
            <w:pPr>
              <w:pStyle w:val="Compact"/>
              <w:jc w:val="left"/>
            </w:pPr>
            <w:r>
              <w:t xml:space="preserve">37%</w:t>
            </w:r>
          </w:p>
        </w:tc>
        <w:tc>
          <w:tcPr/>
          <w:p>
            <w:pPr>
              <w:pStyle w:val="Compact"/>
              <w:jc w:val="left"/>
            </w:pPr>
            <w:r>
              <w:t xml:space="preserve">9 (including national disability advocacy group)</w:t>
            </w:r>
          </w:p>
        </w:tc>
      </w:tr>
    </w:tbl>
    <w:p>
      <w:pPr>
        <w:pStyle w:val="BodyText"/>
      </w:pPr>
      <w:r>
        <w:t xml:space="preserve">This trajectory confirms the market's acceptance of our Occupational Therapist service model. Notably, Singapore Singapore's public healthcare system has become our largest client segment, representing 38% of total revenue. Our strategic partnerships with MOH-approved facilities like SingHealth and Tan Tock Seng Hospital have been instrumental in driving this growth.</w:t>
      </w:r>
    </w:p>
    <w:bookmarkEnd w:id="22"/>
    <w:bookmarkStart w:id="23" w:name="Xe832c6d04f3f52733c19bbc35a22f48b22d2d43"/>
    <w:p>
      <w:pPr>
        <w:pStyle w:val="Heading2"/>
      </w:pPr>
      <w:r>
        <w:t xml:space="preserve">Competitive Differentiation in Singapore Singapore</w:t>
      </w:r>
    </w:p>
    <w:p>
      <w:pPr>
        <w:pStyle w:val="FirstParagraph"/>
      </w:pPr>
      <w:r>
        <w:t xml:space="preserve">What sets our Occupational Therapist service apart in the crowded Singapore Singapore market is our integrated approach. Unlike competitors offering generic therapy modules, we've developed:</w:t>
      </w:r>
    </w:p>
    <w:p>
      <w:pPr>
        <w:numPr>
          <w:ilvl w:val="0"/>
          <w:numId w:val="1002"/>
        </w:numPr>
        <w:pStyle w:val="Compact"/>
      </w:pPr>
      <w:r>
        <w:rPr>
          <w:bCs/>
          <w:b/>
        </w:rPr>
        <w:t xml:space="preserve">Culturally Tailored Programs</w:t>
      </w:r>
      <w:r>
        <w:t xml:space="preserve">: Our OT protocols incorporate Singlish communication styles and local lifestyle considerations (e.g., hawker center accessibility assessments for elderly clients).</w:t>
      </w:r>
    </w:p>
    <w:p>
      <w:pPr>
        <w:numPr>
          <w:ilvl w:val="0"/>
          <w:numId w:val="1002"/>
        </w:numPr>
        <w:pStyle w:val="Compact"/>
      </w:pPr>
      <w:r>
        <w:rPr>
          <w:bCs/>
          <w:b/>
        </w:rPr>
        <w:t xml:space="preserve">MOH-Compliant Digital Integration</w:t>
      </w:r>
      <w:r>
        <w:t xml:space="preserve">: Real-time data sharing with Singapore's National Electronic Health Record (NEHR) system, a requirement for all healthcare providers since 2022.</w:t>
      </w:r>
    </w:p>
    <w:p>
      <w:pPr>
        <w:numPr>
          <w:ilvl w:val="0"/>
          <w:numId w:val="1002"/>
        </w:numPr>
        <w:pStyle w:val="Compact"/>
      </w:pPr>
      <w:r>
        <w:rPr>
          <w:bCs/>
          <w:b/>
        </w:rPr>
        <w:t xml:space="preserve">Specialized Geriatric Modules</w:t>
      </w:r>
      <w:r>
        <w:t xml:space="preserve">: Developed in collaboration with the Institute of Public Health, addressing common Singaporean challenges like hDB flat accessibility and multigenerational living dynamics.</w:t>
      </w:r>
    </w:p>
    <w:p>
      <w:pPr>
        <w:pStyle w:val="FirstParagraph"/>
      </w:pPr>
      <w:r>
        <w:t xml:space="preserve">The Sales Report further indicates that 89% of our clients cite this cultural alignment as their primary reason for choosing our Occupational Therapist services over competitors. Our proprietary "Singapore Contextual Assessment Tool" (SCAT) has been adopted by 15+ healthcare institutions in Singapore Singapore, representing a significant competitive moat.</w:t>
      </w:r>
    </w:p>
    <w:bookmarkEnd w:id="23"/>
    <w:bookmarkStart w:id="24" w:name="strategic-expansion-opportunities"/>
    <w:p>
      <w:pPr>
        <w:pStyle w:val="Heading2"/>
      </w:pPr>
      <w:r>
        <w:t xml:space="preserve">Strategic Expansion Opportunities</w:t>
      </w:r>
    </w:p>
    <w:p>
      <w:pPr>
        <w:pStyle w:val="FirstParagraph"/>
      </w:pPr>
      <w:r>
        <w:t xml:space="preserve">Based on current market trends, the Sales Report identifies three high-potential growth avenues for Occupational Therapist services in Singapore Singapore:</w:t>
      </w:r>
    </w:p>
    <w:p>
      <w:pPr>
        <w:numPr>
          <w:ilvl w:val="0"/>
          <w:numId w:val="1003"/>
        </w:numPr>
        <w:pStyle w:val="Compact"/>
      </w:pPr>
      <w:r>
        <w:rPr>
          <w:bCs/>
          <w:b/>
        </w:rPr>
        <w:t xml:space="preserve">National Disability Inclusion Initiatives</w:t>
      </w:r>
      <w:r>
        <w:t xml:space="preserve">: With the upcoming National Disability Strategy 2030, we project a 55% demand increase in OT services for community-based rehabilitation programs. Our pilot program with SG Enable has already secured S$1.2M in pre-committed contracts.</w:t>
      </w:r>
    </w:p>
    <w:p>
      <w:pPr>
        <w:numPr>
          <w:ilvl w:val="0"/>
          <w:numId w:val="1003"/>
        </w:numPr>
        <w:pStyle w:val="Compact"/>
      </w:pPr>
      <w:r>
        <w:rPr>
          <w:bCs/>
          <w:b/>
        </w:rPr>
        <w:t xml:space="preserve">Home-Based Therapy Expansion</w:t>
      </w:r>
      <w:r>
        <w:t xml:space="preserve">: Singapore Singapore's "Age Well" initiative is driving home-care demand. We've developed a tele-occupational therapy platform with 92% client satisfaction, positioning us to capture the estimated S$850M home-based OT market by 2026.</w:t>
      </w:r>
    </w:p>
    <w:p>
      <w:pPr>
        <w:numPr>
          <w:ilvl w:val="0"/>
          <w:numId w:val="1003"/>
        </w:numPr>
        <w:pStyle w:val="Compact"/>
      </w:pPr>
      <w:r>
        <w:rPr>
          <w:bCs/>
          <w:b/>
        </w:rPr>
        <w:t xml:space="preserve">Workplace Ergonomics Consulting</w:t>
      </w:r>
      <w:r>
        <w:t xml:space="preserve">: As Singapore Singapore's Ministry of Manpower enforces stricter workplace safety standards, our corporate OT services for ergonomic assessments are experiencing 45% quarterly growth.</w:t>
      </w:r>
    </w:p>
    <w:bookmarkEnd w:id="24"/>
    <w:bookmarkStart w:id="25" w:name="challenges-and-mitigation-strategies"/>
    <w:p>
      <w:pPr>
        <w:pStyle w:val="Heading2"/>
      </w:pPr>
      <w:r>
        <w:t xml:space="preserve">Challenges and Mitigation Strategies</w:t>
      </w:r>
    </w:p>
    <w:p>
      <w:pPr>
        <w:pStyle w:val="FirstParagraph"/>
      </w:pPr>
      <w:r>
        <w:t xml:space="preserve">Despite strong performance, the Sales Report identifies two key challenges requiring strategic response:</w:t>
      </w:r>
    </w:p>
    <w:p>
      <w:pPr>
        <w:numPr>
          <w:ilvl w:val="0"/>
          <w:numId w:val="1004"/>
        </w:numPr>
        <w:pStyle w:val="Compact"/>
      </w:pPr>
      <w:r>
        <w:rPr>
          <w:bCs/>
          <w:b/>
        </w:rPr>
        <w:t xml:space="preserve">OT Workforce Shortage</w:t>
      </w:r>
      <w:r>
        <w:t xml:space="preserve">: Singapore Singapore faces a 17% deficit in certified Occupational Therapist professionals (MOH Data, Q4 2023). Our solution includes a partnership with Ngee Ann Polytechnic for accelerated OT training programs, targeting 50 new graduates annually by 2025.</w:t>
      </w:r>
    </w:p>
    <w:p>
      <w:pPr>
        <w:numPr>
          <w:ilvl w:val="0"/>
          <w:numId w:val="1004"/>
        </w:numPr>
        <w:pStyle w:val="Compact"/>
      </w:pPr>
      <w:r>
        <w:rPr>
          <w:bCs/>
          <w:b/>
        </w:rPr>
        <w:t xml:space="preserve">Reimbursement Policy Changes</w:t>
      </w:r>
      <w:r>
        <w:t xml:space="preserve">: MOH's potential shift from facility-based to outcome-based funding requires service adaptation. We've developed our "Value-Based Therapy Metrics" framework that demonstrates cost savings of 33% per client through reduced hospital readmissions, aligning with future reimbursement models.</w:t>
      </w:r>
    </w:p>
    <w:bookmarkEnd w:id="25"/>
    <w:bookmarkStart w:id="26" w:name="conclusion-and-forward-looking-outlook"/>
    <w:p>
      <w:pPr>
        <w:pStyle w:val="Heading2"/>
      </w:pPr>
      <w:r>
        <w:t xml:space="preserve">Conclusion and Forward-Looking Outlook</w:t>
      </w:r>
    </w:p>
    <w:p>
      <w:pPr>
        <w:pStyle w:val="FirstParagraph"/>
      </w:pPr>
      <w:r>
        <w:t xml:space="preserve">This Sales Report conclusively establishes Occupational Therapist services as a high-growth, strategically critical component of Singapore Singapore's healthcare infrastructure. The data demonstrates not only robust current performance but also significant untapped potential in three major growth vectors: national disability programs, home-based care expansion, and corporate wellness initiatives.</w:t>
      </w:r>
    </w:p>
    <w:p>
      <w:pPr>
        <w:pStyle w:val="BodyText"/>
      </w:pPr>
      <w:r>
        <w:t xml:space="preserve">As we advance into 2024, our strategic focus remains on deepening our integration within Singapore Singapore's healthcare ecosystem. We will expand the SCAT framework to cover all MOH-certified facilities by Q2 2024 and launch a dedicated pediatric OT mobile clinic service targeting underserved neighborhoods in Tampines and Punggol. These initiatives are projected to generate S$4.8M in new revenue within the next 18 months, solidifying our position as the premier provider of Occupational Therapist services across Singapore Singapore.</w:t>
      </w:r>
    </w:p>
    <w:p>
      <w:pPr>
        <w:pStyle w:val="BodyText"/>
      </w:pPr>
      <w:r>
        <w:t xml:space="preserve">The consistent growth trajectory documented in this Sales Report underscores a fundamental truth: In Singapore Singapore's evolving healthcare landscape, Occupational Therapist professionals are no longer peripheral support staff—they are central to delivering human-centered care that aligns with national health priorities. We remain committed to leading this transformation through innovative service delivery, cultural intelligence, and unwavering commitment to client outcomes in the unique context of Singapore Singapore.</w:t>
      </w:r>
    </w:p>
    <w:p>
      <w:pPr>
        <w:pStyle w:val="BodyText"/>
      </w:pPr>
      <w:r>
        <w:rPr>
          <w:bCs/>
          <w:b/>
        </w:rPr>
        <w:t xml:space="preserve">Report Prepared For:</w:t>
      </w:r>
      <w:r>
        <w:t xml:space="preserve"> </w:t>
      </w:r>
      <w:r>
        <w:t xml:space="preserve">Board of Directors, Occupational Therapy Solutions Pte Ltd</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Singapore Singapore Market Analysis</dc:title>
  <dc:creator/>
  <dc:language>en</dc:language>
  <cp:keywords/>
  <dcterms:created xsi:type="dcterms:W3CDTF">2026-07-23T19:23:30Z</dcterms:created>
  <dcterms:modified xsi:type="dcterms:W3CDTF">2026-07-23T19:23:30Z</dcterms:modified>
</cp:coreProperties>
</file>

<file path=docProps/custom.xml><?xml version="1.0" encoding="utf-8"?>
<Properties xmlns="http://schemas.openxmlformats.org/officeDocument/2006/custom-properties" xmlns:vt="http://schemas.openxmlformats.org/officeDocument/2006/docPropsVTypes"/>
</file>