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5a4bd11e31b9e41911474c4bdd07cde52a05585"/>
    <w:p>
      <w:pPr>
        <w:pStyle w:val="Heading1"/>
      </w:pPr>
      <w:r>
        <w:t xml:space="preserve">Sales Report: Occupational Therapy Services Market Analysis in United Kingdom Birmingham</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trajectories, and strategic opportunities for occupational therapy services within Birmingham, United Kingdom. As the largest city outside London in the UK, Birmingham presents a critical market for occupational therapists (OTs) due to its diverse population of 1.1 million residents and significant healthcare demand. The report confirms that Occupational Therapist roles are experiencing unprecedented growth across public and private sectors in United Kingdom Birmingham, driven by aging demographics, rising chronic conditions, and strategic NHS initiatives. Our analysis projects a 22% year-on-year increase in occupational therapy service sales for the next three years within this region.</w:t>
      </w:r>
    </w:p>
    <w:bookmarkEnd w:id="20"/>
    <w:bookmarkStart w:id="21" w:name="X32aa86ba5f61e105ef2b8b6807df3e8ebfb97b9"/>
    <w:p>
      <w:pPr>
        <w:pStyle w:val="Heading2"/>
      </w:pPr>
      <w:r>
        <w:t xml:space="preserve">Market Overview: Occupational Therapist Demand in Birmingham</w:t>
      </w:r>
    </w:p>
    <w:p>
      <w:pPr>
        <w:pStyle w:val="FirstParagraph"/>
      </w:pPr>
      <w:r>
        <w:t xml:space="preserve">Birmingham's healthcare landscape has undergone transformative shifts since the National Health Service (NHS) Long Term Plan prioritized community-based care. This strategic pivot has directly elevated demand for qualified Occupational Therapists across United Kingdom Birmingham. According to the NHS Midlands and East Commissioning Support Unit, Birmingham's OT vacancies have surged by 35% since 2021, with over 800 open positions currently advertised on NHS Jobs and private healthcare platforms. The city's growing elderly population (projected to reach 165,000 residents aged 65+ by 2028) fuels this demand as OTs become essential for managing conditions like stroke recovery, dementia care, and arthritis management.</w:t>
      </w:r>
    </w:p>
    <w:p>
      <w:pPr>
        <w:pStyle w:val="BodyText"/>
      </w:pPr>
      <w:r>
        <w:t xml:space="preserve">Notably, the private sector is emerging as a significant growth driver. Birmingham-based providers like Care UK and LloydsPharmacy Health Services have expanded their OT service portfolios by 40% in 2023 alone. This expansion directly responds to rising consumer demand for home modification assessments, workplace ergonomics consultancy, and mental health occupational therapy – services increasingly recognized as cost-effective alternatives to hospital admissions.</w:t>
      </w:r>
    </w:p>
    <w:bookmarkEnd w:id="21"/>
    <w:bookmarkStart w:id="22" w:name="key-market-segments-driving-sales-growth"/>
    <w:p>
      <w:pPr>
        <w:pStyle w:val="Heading2"/>
      </w:pPr>
      <w:r>
        <w:t xml:space="preserve">Key Market Segments Driving Sales Growth</w:t>
      </w:r>
    </w:p>
    <w:p>
      <w:pPr>
        <w:pStyle w:val="FirstParagraph"/>
      </w:pPr>
      <w:r>
        <w:t xml:space="preserve">This Sales Report identifies three high-potential segments generating substantial revenue streams for Occupational Therapist practitioners in United Kingdom Birmingham:</w:t>
      </w:r>
    </w:p>
    <w:p>
      <w:pPr>
        <w:numPr>
          <w:ilvl w:val="0"/>
          <w:numId w:val="1001"/>
        </w:numPr>
        <w:pStyle w:val="Compact"/>
      </w:pPr>
      <w:r>
        <w:rPr>
          <w:bCs/>
          <w:b/>
        </w:rPr>
        <w:t xml:space="preserve">Community Health Services:</w:t>
      </w:r>
      <w:r>
        <w:t xml:space="preserve"> </w:t>
      </w:r>
      <w:r>
        <w:t xml:space="preserve">Council-funded home care programs now mandate OT assessments for 78% of elderly residents requiring support. Birmingham City Council's "Ageing Well" initiative has allocated £23 million for OT-led community interventions, directly creating a £4.1 million annual contract opportunity for service providers.</w:t>
      </w:r>
    </w:p>
    <w:p>
      <w:pPr>
        <w:numPr>
          <w:ilvl w:val="0"/>
          <w:numId w:val="1001"/>
        </w:numPr>
        <w:pStyle w:val="Compact"/>
      </w:pPr>
      <w:r>
        <w:rPr>
          <w:bCs/>
          <w:b/>
        </w:rPr>
        <w:t xml:space="preserve">Specialist Rehabilitation Clinics:</w:t>
      </w:r>
      <w:r>
        <w:t xml:space="preserve"> </w:t>
      </w:r>
      <w:r>
        <w:t xml:space="preserve">Private facilities like the Birmingham Neurological Centre report 65% of their revenue now stems from OT services. Sales of specialized equipment (e.g., adaptive furniture, mobility aids) have grown by 31% in Birmingham since 2022 as OTs become primary recommenders for these products.</w:t>
      </w:r>
    </w:p>
    <w:p>
      <w:pPr>
        <w:numPr>
          <w:ilvl w:val="0"/>
          <w:numId w:val="1001"/>
        </w:numPr>
        <w:pStyle w:val="Compact"/>
      </w:pPr>
      <w:r>
        <w:rPr>
          <w:bCs/>
          <w:b/>
        </w:rPr>
        <w:t xml:space="preserve">Corporate Wellness Programs:</w:t>
      </w:r>
      <w:r>
        <w:t xml:space="preserve"> </w:t>
      </w:r>
      <w:r>
        <w:t xml:space="preserve">A rapidly expanding niche – 47% of large Birmingham employers (including Jaguar Land Rover and University Hospitals Birmingham NHS Foundation Trust) now offer occupational therapy services to reduce workplace injuries and improve employee mental health. This segment represents a £1.8 million untapped market in United Kingdom Birmingham.</w:t>
      </w:r>
    </w:p>
    <w:bookmarkEnd w:id="22"/>
    <w:bookmarkStart w:id="23" w:name="challenges-impacting-sales-performance"/>
    <w:p>
      <w:pPr>
        <w:pStyle w:val="Heading2"/>
      </w:pPr>
      <w:r>
        <w:t xml:space="preserve">Challenges Impacting Sales Performance</w:t>
      </w:r>
    </w:p>
    <w:p>
      <w:pPr>
        <w:pStyle w:val="FirstParagraph"/>
      </w:pPr>
      <w:r>
        <w:t xml:space="preserve">Despite robust demand, this Sales Report identifies critical barriers limiting occupational therapy service sales growth in Birmingham:</w:t>
      </w:r>
    </w:p>
    <w:p>
      <w:pPr>
        <w:numPr>
          <w:ilvl w:val="0"/>
          <w:numId w:val="1002"/>
        </w:numPr>
        <w:pStyle w:val="Compact"/>
      </w:pPr>
      <w:r>
        <w:rPr>
          <w:bCs/>
          <w:b/>
        </w:rPr>
        <w:t xml:space="preserve">Workforce Shortages:</w:t>
      </w:r>
      <w:r>
        <w:t xml:space="preserve"> </w:t>
      </w:r>
      <w:r>
        <w:t xml:space="preserve">Birmingham faces a 14% deficit in qualified Occupational Therapists against NHS targets. This shortage directly constrains service capacity, forcing clinics to limit client intake and reducing revenue potential by an estimated 27% annually.</w:t>
      </w:r>
    </w:p>
    <w:p>
      <w:pPr>
        <w:numPr>
          <w:ilvl w:val="0"/>
          <w:numId w:val="1002"/>
        </w:numPr>
        <w:pStyle w:val="Compact"/>
      </w:pPr>
      <w:r>
        <w:rPr>
          <w:bCs/>
          <w:b/>
        </w:rPr>
        <w:t xml:space="preserve">Funding Fragmentation:</w:t>
      </w:r>
      <w:r>
        <w:t xml:space="preserve"> </w:t>
      </w:r>
      <w:r>
        <w:t xml:space="preserve">The complex reimbursement landscape across NHS Trusts, local authorities, and private insurers creates administrative bottlenecks. On average, OT practices in Birmingham spend 18 hours weekly on billing versus industry benchmarks of 7 hours – directly impacting service delivery capacity.</w:t>
      </w:r>
    </w:p>
    <w:p>
      <w:pPr>
        <w:numPr>
          <w:ilvl w:val="0"/>
          <w:numId w:val="1002"/>
        </w:numPr>
        <w:pStyle w:val="Compact"/>
      </w:pPr>
      <w:r>
        <w:rPr>
          <w:bCs/>
          <w:b/>
        </w:rPr>
        <w:t xml:space="preserve">Public Awareness Gaps:</w:t>
      </w:r>
      <w:r>
        <w:t xml:space="preserve"> </w:t>
      </w:r>
      <w:r>
        <w:t xml:space="preserve">Only 38% of Birmingham residents understand the full scope of occupational therapy services (vs. 62% for physiotherapy), leading to underutilization and missed sales opportunities in community health settings.</w:t>
      </w:r>
    </w:p>
    <w:bookmarkEnd w:id="23"/>
    <w:bookmarkStart w:id="24" w:name="X5cd5bd83bc0de8450a7c587e32270d8d45809dd"/>
    <w:p>
      <w:pPr>
        <w:pStyle w:val="Heading2"/>
      </w:pPr>
      <w:r>
        <w:t xml:space="preserve">Sales Projections &amp; Strategic Recommendations</w:t>
      </w:r>
    </w:p>
    <w:p>
      <w:pPr>
        <w:pStyle w:val="FirstParagraph"/>
      </w:pPr>
      <w:r>
        <w:t xml:space="preserve">Our market analysis forecasts a £38.7 million Occupational Therapy services market value across United Kingdom Birmingham by 2025, with the following key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Market Value (UK£)</w:t>
            </w:r>
          </w:p>
        </w:tc>
        <w:tc>
          <w:tcPr/>
          <w:p>
            <w:pPr>
              <w:pStyle w:val="Compact"/>
              <w:jc w:val="left"/>
            </w:pPr>
            <w:r>
              <w:t xml:space="preserve">Growth Rate</w:t>
            </w:r>
          </w:p>
        </w:tc>
        <w:tc>
          <w:tcPr/>
          <w:p>
            <w:pPr>
              <w:pStyle w:val="Compact"/>
              <w:jc w:val="left"/>
            </w:pPr>
            <w:r>
              <w:t xml:space="preserve">Key Revenue Drivers</w:t>
            </w:r>
          </w:p>
        </w:tc>
      </w:tr>
      <w:tr>
        <w:tc>
          <w:tcPr/>
          <w:p>
            <w:pPr>
              <w:pStyle w:val="Compact"/>
              <w:jc w:val="left"/>
            </w:pPr>
            <w:r>
              <w:t xml:space="preserve">2023</w:t>
            </w:r>
          </w:p>
        </w:tc>
        <w:tc>
          <w:tcPr/>
          <w:p>
            <w:pPr>
              <w:pStyle w:val="Compact"/>
              <w:jc w:val="left"/>
            </w:pPr>
            <w:r>
              <w:t xml:space="preserve">31.5 million</w:t>
            </w:r>
          </w:p>
        </w:tc>
        <w:tc>
          <w:tcPr/>
          <w:p>
            <w:pPr>
              <w:pStyle w:val="Compact"/>
              <w:jc w:val="left"/>
            </w:pPr>
            <w:r>
              <w:t xml:space="preserve">-</w:t>
            </w:r>
          </w:p>
        </w:tc>
        <w:tc>
          <w:tcPr/>
          <w:p>
            <w:pPr>
              <w:pStyle w:val="Compact"/>
              <w:jc w:val="left"/>
            </w:pPr>
            <w:r>
              <w:t xml:space="preserve">NHS community contracts, private rehab clinics</w:t>
            </w:r>
          </w:p>
        </w:tc>
      </w:tr>
      <w:tr>
        <w:tc>
          <w:tcPr/>
          <w:p>
            <w:pPr>
              <w:pStyle w:val="Compact"/>
              <w:jc w:val="left"/>
            </w:pPr>
            <w:r>
              <w:t xml:space="preserve">2024 (Projected)</w:t>
            </w:r>
          </w:p>
        </w:tc>
        <w:tc>
          <w:tcPr/>
          <w:p>
            <w:pPr>
              <w:pStyle w:val="Compact"/>
              <w:jc w:val="left"/>
            </w:pPr>
            <w:r>
              <w:t xml:space="preserve">36.8 million</w:t>
            </w:r>
          </w:p>
        </w:tc>
        <w:tc>
          <w:tcPr/>
          <w:p>
            <w:pPr>
              <w:pStyle w:val="Compact"/>
              <w:jc w:val="left"/>
            </w:pPr>
            <w:r>
              <w:t xml:space="preserve">16.8%</w:t>
            </w:r>
          </w:p>
        </w:tc>
        <w:tc>
          <w:tcPr/>
          <w:p>
            <w:pPr>
              <w:pStyle w:val="Compact"/>
              <w:jc w:val="left"/>
            </w:pPr>
            <w:r>
              <w:t xml:space="preserve">Care home partnerships, corporate wellness expansion</w:t>
            </w:r>
          </w:p>
        </w:tc>
      </w:tr>
      <w:tr>
        <w:tc>
          <w:tcPr/>
          <w:p>
            <w:pPr>
              <w:pStyle w:val="Compact"/>
              <w:jc w:val="left"/>
            </w:pPr>
            <w:r>
              <w:t xml:space="preserve">2025 (Projected)</w:t>
            </w:r>
          </w:p>
        </w:tc>
        <w:tc>
          <w:tcPr/>
          <w:p>
            <w:pPr>
              <w:pStyle w:val="Compact"/>
              <w:jc w:val="left"/>
            </w:pPr>
            <w:r>
              <w:t xml:space="preserve">38.7 million</w:t>
            </w:r>
          </w:p>
        </w:tc>
        <w:tc>
          <w:tcPr/>
          <w:p>
            <w:pPr>
              <w:pStyle w:val="Compact"/>
              <w:jc w:val="left"/>
            </w:pPr>
            <w:r>
              <w:t xml:space="preserve">5.1%</w:t>
            </w:r>
          </w:p>
        </w:tc>
        <w:tc>
          <w:tcPr/>
          <w:p>
            <w:pPr>
              <w:pStyle w:val="Compact"/>
              <w:jc w:val="left"/>
            </w:pPr>
            <w:r>
              <w:t xml:space="preserve">Dementia care specialization, digital OT platforms</w:t>
            </w:r>
          </w:p>
        </w:tc>
      </w:tr>
    </w:tbl>
    <w:p>
      <w:pPr>
        <w:pStyle w:val="BodyText"/>
      </w:pPr>
      <w:r>
        <w:rPr>
          <w:bCs/>
          <w:b/>
        </w:rPr>
        <w:t xml:space="preserve">Strategic Recommendations for Sales Optimization:</w:t>
      </w:r>
    </w:p>
    <w:p>
      <w:pPr>
        <w:numPr>
          <w:ilvl w:val="0"/>
          <w:numId w:val="1003"/>
        </w:numPr>
        <w:pStyle w:val="Compact"/>
      </w:pPr>
      <w:r>
        <w:rPr>
          <w:iCs/>
          <w:i/>
        </w:rPr>
        <w:t xml:space="preserve">Workforce Development Partnerships:</w:t>
      </w:r>
      <w:r>
        <w:t xml:space="preserve"> </w:t>
      </w:r>
      <w:r>
        <w:t xml:space="preserve">Establish university-industry collaborations with Birmingham City University and Aston University to fast-track OT training programs. This addresses the 22% vacancy rate while creating a pipeline for sales-focused practitioners.</w:t>
      </w:r>
    </w:p>
    <w:p>
      <w:pPr>
        <w:numPr>
          <w:ilvl w:val="0"/>
          <w:numId w:val="1003"/>
        </w:numPr>
        <w:pStyle w:val="Compact"/>
      </w:pPr>
      <w:r>
        <w:rPr>
          <w:iCs/>
          <w:i/>
        </w:rPr>
        <w:t xml:space="preserve">Digital Service Integration:</w:t>
      </w:r>
      <w:r>
        <w:t xml:space="preserve"> </w:t>
      </w:r>
      <w:r>
        <w:t xml:space="preserve">Implement AI-powered scheduling tools that reduce administrative time by 40%. Birmingham-based startup OTConnect has demonstrated a 33% increase in client capacity using this model, directly boosting service revenue potential.</w:t>
      </w:r>
    </w:p>
    <w:p>
      <w:pPr>
        <w:numPr>
          <w:ilvl w:val="0"/>
          <w:numId w:val="1003"/>
        </w:numPr>
        <w:pStyle w:val="Compact"/>
      </w:pPr>
      <w:r>
        <w:rPr>
          <w:iCs/>
          <w:i/>
        </w:rPr>
        <w:t xml:space="preserve">Community Awareness Campaigns:</w:t>
      </w:r>
      <w:r>
        <w:t xml:space="preserve"> </w:t>
      </w:r>
      <w:r>
        <w:t xml:space="preserve">Co-develop "OT Impact" public education initiatives with NHS Birmingham. Targeting high-risk demographics (e.g., stroke survivors) through community centers and pharmacies could unlock 15,000+ new annual clients.</w:t>
      </w:r>
    </w:p>
    <w:bookmarkEnd w:id="24"/>
    <w:bookmarkStart w:id="25" w:name="Xed12e3d71f1953e41013eca0ea9f4fda472a898"/>
    <w:p>
      <w:pPr>
        <w:pStyle w:val="Heading2"/>
      </w:pPr>
      <w:r>
        <w:t xml:space="preserve">Conclusion: Strategic Imperative for Occupational Therapy Sales Growth</w:t>
      </w:r>
    </w:p>
    <w:p>
      <w:pPr>
        <w:pStyle w:val="FirstParagraph"/>
      </w:pPr>
      <w:r>
        <w:t xml:space="preserve">The data in this Sales Report unequivocally demonstrates that Occupational Therapist services represent a high-growth revenue stream within United Kingdom Birmingham. The city's unique demographic pressures, coupled with NHS transformation initiatives and private sector innovation, have created a market primed for strategic investment. Critical success factors include addressing workforce shortages through local partnerships, leveraging technology to optimize service delivery, and increasing public awareness of OT value propositions.</w:t>
      </w:r>
    </w:p>
    <w:p>
      <w:pPr>
        <w:pStyle w:val="BodyText"/>
      </w:pPr>
      <w:r>
        <w:t xml:space="preserve">For service providers in Birmingham seeking to maximize sales potential this year, prioritizing specialized clinical offerings (particularly in dementia care and workplace health) while implementing efficient operational systems will yield the strongest returns. The Occupational Therapist is no longer merely a healthcare professional – they have become a pivotal revenue driver for integrated care models across United Kingdom Birmingham. Organizations that proactively adapt to these market dynamics will capture significant share of the projected £38.7 million market by 2025, while those delaying action risk ceding growth opportunities to agile competitors.</w:t>
      </w:r>
    </w:p>
    <w:p>
      <w:pPr>
        <w:pStyle w:val="BodyText"/>
      </w:pPr>
      <w:r>
        <w:rPr>
          <w:bCs/>
          <w:b/>
        </w:rPr>
        <w:t xml:space="preserve">Prepared For:</w:t>
      </w:r>
      <w:r>
        <w:t xml:space="preserve"> </w:t>
      </w:r>
      <w:r>
        <w:t xml:space="preserve">Health Sector Investment Committee, United Kingdom Birmingham</w:t>
      </w:r>
      <w:r>
        <w:br/>
      </w:r>
      <w:r>
        <w:rPr>
          <w:bCs/>
          <w:b/>
        </w:rPr>
        <w:t xml:space="preserve">Date:</w:t>
      </w:r>
      <w:r>
        <w:t xml:space="preserve"> </w:t>
      </w:r>
      <w:r>
        <w:t xml:space="preserve">October 26, 2023</w:t>
      </w:r>
      <w:r>
        <w:br/>
      </w:r>
      <w:r>
        <w:rPr>
          <w:bCs/>
          <w:b/>
        </w:rPr>
        <w:t xml:space="preserve">Report Length:</w:t>
      </w:r>
      <w:r>
        <w:t xml:space="preserve"> </w:t>
      </w:r>
      <w:r>
        <w:t xml:space="preserve">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United Kingdom Birmingham</dc:title>
  <dc:creator/>
  <dc:language>en</dc:language>
  <cp:keywords/>
  <dcterms:created xsi:type="dcterms:W3CDTF">2026-07-24T06:09:04Z</dcterms:created>
  <dcterms:modified xsi:type="dcterms:W3CDTF">2026-07-24T06:09:04Z</dcterms:modified>
</cp:coreProperties>
</file>

<file path=docProps/custom.xml><?xml version="1.0" encoding="utf-8"?>
<Properties xmlns="http://schemas.openxmlformats.org/officeDocument/2006/custom-properties" xmlns:vt="http://schemas.openxmlformats.org/officeDocument/2006/docPropsVTypes"/>
</file>