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Occupational</w:t>
      </w:r>
      <w:r>
        <w:t xml:space="preserve"> </w:t>
      </w:r>
      <w:r>
        <w:t xml:space="preserve">Therapist</w:t>
      </w:r>
      <w:r>
        <w:t xml:space="preserve"> </w:t>
      </w:r>
      <w:r>
        <w:t xml:space="preserve">Sales</w:t>
      </w:r>
      <w:r>
        <w:t xml:space="preserve"> </w:t>
      </w:r>
      <w:r>
        <w:t xml:space="preserve">Report</w:t>
      </w:r>
      <w:r>
        <w:t xml:space="preserve"> </w:t>
      </w:r>
      <w:r>
        <w:t xml:space="preserve">-</w:t>
      </w:r>
      <w:r>
        <w:t xml:space="preserve"> </w:t>
      </w:r>
      <w:r>
        <w:t xml:space="preserve">United</w:t>
      </w:r>
      <w:r>
        <w:t xml:space="preserve"> </w:t>
      </w:r>
      <w:r>
        <w:t xml:space="preserve">Kingdom</w:t>
      </w:r>
      <w:r>
        <w:t xml:space="preserve"> </w:t>
      </w:r>
      <w:r>
        <w:t xml:space="preserve">London</w:t>
      </w:r>
    </w:p>
    <w:bookmarkStart w:id="29" w:name="X27ba1c861707d5e1a2d9660a498ac676400391d"/>
    <w:p>
      <w:pPr>
        <w:pStyle w:val="Heading1"/>
      </w:pPr>
      <w:r>
        <w:t xml:space="preserve">Occupational Therapist Sales Performance Report: United Kingdom London Market Analysis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w:t>
      </w:r>
      <w:r>
        <w:br/>
      </w:r>
      <w:r>
        <w:rPr>
          <w:bCs/>
          <w:b/>
        </w:rPr>
        <w:t xml:space="preserve">Report Period:</w:t>
      </w:r>
      <w:r>
        <w:t xml:space="preserve"> </w:t>
      </w:r>
      <w:r>
        <w:t xml:space="preserve">Q3 2023 (July 1 - September 30)</w:t>
      </w:r>
    </w:p>
    <w:bookmarkStart w:id="20" w:name="executive-summary"/>
    <w:p>
      <w:pPr>
        <w:pStyle w:val="Heading2"/>
      </w:pPr>
      <w:r>
        <w:t xml:space="preserve">Executive Summary</w:t>
      </w:r>
    </w:p>
    <w:p>
      <w:pPr>
        <w:pStyle w:val="FirstParagraph"/>
      </w:pPr>
      <w:r>
        <w:t xml:space="preserve">This comprehensive Sales Report details the performance of Occupational Therapist services across the United Kingdom London market. The quarter demonstrated a robust 18.7% year-over-year growth in service uptake, significantly outperforming national averages. London's unique demographic and healthcare demands have positioned Occupational Therapists as critical service providers within both public and private healthcare ecosystems. This report identifies key drivers of success, market opportunities, and strategic imperatives for sustained growth in the UK's most dynamic healthcare market.</w:t>
      </w:r>
    </w:p>
    <w:bookmarkEnd w:id="20"/>
    <w:bookmarkStart w:id="21" w:name="X40534ac30fd9f567135463ea2cfcda7042f5994"/>
    <w:p>
      <w:pPr>
        <w:pStyle w:val="Heading2"/>
      </w:pPr>
      <w:r>
        <w:t xml:space="preserve">Market Context: London's Occupational Therapy Landscape</w:t>
      </w:r>
    </w:p>
    <w:p>
      <w:pPr>
        <w:pStyle w:val="FirstParagraph"/>
      </w:pPr>
      <w:r>
        <w:t xml:space="preserve">The United Kingdom London region presents a distinct occupational therapy marketplace characterized by high population density (9.5 million residents), complex healthcare needs, and stringent NHS commissioning frameworks. With 68% of the UK's occupational therapy service demand concentrated in Greater London, this market serves as the national bellwether for OT service evolution. The 2023 NHS Long Term Plan specifically prioritizes early intervention through Occupational Therapists for elderly care and neurorehabilitation, creating unprecedented commercial opportunities.</w:t>
      </w:r>
    </w:p>
    <w:p>
      <w:pPr>
        <w:pStyle w:val="BodyText"/>
      </w:pPr>
      <w:r>
        <w:t xml:space="preserve">London's unique challenges—urban accessibility barriers, multi-generational housing pressures, and high prevalence of mental health conditions—have amplified the demand for specialized OT interventions. As per Health Education England data, London accounts for 41% of all occupational therapy vacancies nationally, reflecting acute workforce shortages that directly impact service delivery capacity. Our Sales Report confirms that clients increasingly prioritize OT services as cost-effective alternatives to hospital readmissions in this high-cost environment.</w:t>
      </w:r>
    </w:p>
    <w:bookmarkEnd w:id="21"/>
    <w:bookmarkStart w:id="23" w:name="quarterly-sales-performance-analysis"/>
    <w:p>
      <w:pPr>
        <w:pStyle w:val="Heading2"/>
      </w:pPr>
      <w:r>
        <w:t xml:space="preserve">Quarterly Sales Performance Analysis</w:t>
      </w:r>
    </w:p>
    <w:bookmarkStart w:id="22" w:name="key-metrics-q3-2023"/>
    <w:p>
      <w:pPr>
        <w:pStyle w:val="Heading3"/>
      </w:pPr>
      <w:r>
        <w:t xml:space="preserve">Key Metrics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Metric</w:t>
            </w:r>
          </w:p>
        </w:tc>
        <w:tc>
          <w:tcPr/>
          <w:p>
            <w:pPr>
              <w:pStyle w:val="Compact"/>
              <w:jc w:val="left"/>
            </w:pPr>
            <w:r>
              <w:t xml:space="preserve">Q3 2023</w:t>
            </w:r>
          </w:p>
        </w:tc>
        <w:tc>
          <w:tcPr/>
          <w:p>
            <w:pPr>
              <w:pStyle w:val="Compact"/>
              <w:jc w:val="left"/>
            </w:pPr>
            <w:r>
              <w:t xml:space="preserve">YoY Change</w:t>
            </w:r>
          </w:p>
        </w:tc>
        <w:tc>
          <w:tcPr/>
          <w:p>
            <w:pPr>
              <w:pStyle w:val="Compact"/>
              <w:jc w:val="left"/>
            </w:pPr>
            <w:r>
              <w:t xml:space="preserve">National Average</w:t>
            </w:r>
          </w:p>
        </w:tc>
      </w:tr>
      <w:tr>
        <w:tc>
          <w:tcPr/>
          <w:p>
            <w:pPr>
              <w:pStyle w:val="Compact"/>
              <w:jc w:val="left"/>
            </w:pPr>
            <w:r>
              <w:t xml:space="preserve">Total Service Contracts Signed</w:t>
            </w:r>
          </w:p>
        </w:tc>
        <w:tc>
          <w:tcPr/>
          <w:p>
            <w:pPr>
              <w:pStyle w:val="Compact"/>
              <w:jc w:val="left"/>
            </w:pPr>
            <w:r>
              <w:t xml:space="preserve">147</w:t>
            </w:r>
          </w:p>
        </w:tc>
        <w:tc>
          <w:tcPr/>
          <w:p>
            <w:pPr>
              <w:pStyle w:val="Compact"/>
              <w:jc w:val="left"/>
            </w:pPr>
            <w:r>
              <w:t xml:space="preserve">+18.7%</w:t>
            </w:r>
          </w:p>
        </w:tc>
        <w:tc>
          <w:tcPr/>
          <w:p>
            <w:pPr>
              <w:pStyle w:val="Compact"/>
              <w:jc w:val="left"/>
            </w:pPr>
            <w:r>
              <w:t xml:space="preserve">+5.2%</w:t>
            </w:r>
          </w:p>
        </w:tc>
      </w:tr>
      <w:tr>
        <w:tc>
          <w:tcPr/>
          <w:p>
            <w:pPr>
              <w:pStyle w:val="Compact"/>
              <w:jc w:val="left"/>
            </w:pPr>
            <w:r>
              <w:t xml:space="preserve">Average Contract Value (GBP)</w:t>
            </w:r>
          </w:p>
        </w:tc>
        <w:tc>
          <w:tcPr/>
          <w:p>
            <w:pPr>
              <w:pStyle w:val="Compact"/>
              <w:jc w:val="left"/>
            </w:pPr>
            <w:r>
              <w:t xml:space="preserve">£18,350</w:t>
            </w:r>
          </w:p>
        </w:tc>
        <w:tc>
          <w:tcPr/>
          <w:p>
            <w:pPr>
              <w:pStyle w:val="Compact"/>
              <w:jc w:val="left"/>
            </w:pPr>
            <w:r>
              <w:t xml:space="preserve">+6.4%</w:t>
            </w:r>
          </w:p>
        </w:tc>
        <w:tc>
          <w:tcPr/>
          <w:p>
            <w:pPr>
              <w:pStyle w:val="Compact"/>
              <w:jc w:val="left"/>
            </w:pPr>
            <w:r>
              <w:t xml:space="preserve">£17,200</w:t>
            </w:r>
          </w:p>
        </w:tc>
      </w:tr>
      <w:tr>
        <w:tc>
          <w:tcPr/>
          <w:p>
            <w:pPr>
              <w:pStyle w:val="Compact"/>
              <w:jc w:val="left"/>
            </w:pPr>
            <w:r>
              <w:t xml:space="preserve">Private Sector Penetration</w:t>
            </w:r>
          </w:p>
        </w:tc>
        <w:tc>
          <w:tcPr/>
          <w:p>
            <w:pPr>
              <w:pStyle w:val="Compact"/>
              <w:jc w:val="left"/>
            </w:pPr>
            <w:r>
              <w:t xml:space="preserve">62%</w:t>
            </w:r>
          </w:p>
        </w:tc>
        <w:tc>
          <w:tcPr/>
          <w:p>
            <w:pPr>
              <w:pStyle w:val="Compact"/>
              <w:jc w:val="left"/>
            </w:pPr>
            <w:r>
              <w:t xml:space="preserve">+9.3pp</w:t>
            </w:r>
          </w:p>
        </w:tc>
        <w:tc>
          <w:tcPr/>
          <w:p>
            <w:pPr>
              <w:pStyle w:val="Compact"/>
              <w:jc w:val="left"/>
            </w:pPr>
            <w:r>
              <w:t xml:space="preserve">53%</w:t>
            </w:r>
          </w:p>
        </w:tc>
      </w:tr>
      <w:tr>
        <w:tc>
          <w:tcPr/>
          <w:p>
            <w:pPr>
              <w:pStyle w:val="Compact"/>
              <w:jc w:val="left"/>
            </w:pPr>
            <w:r>
              <w:t xml:space="preserve">NHS Commissioned Services</w:t>
            </w:r>
          </w:p>
        </w:tc>
        <w:tc>
          <w:tcPr/>
          <w:p>
            <w:pPr>
              <w:pStyle w:val="Compact"/>
              <w:jc w:val="left"/>
            </w:pPr>
            <w:r>
              <w:t xml:space="preserve">38%</w:t>
            </w:r>
          </w:p>
        </w:tc>
        <w:tc>
          <w:tcPr/>
          <w:p>
            <w:pPr>
              <w:pStyle w:val="Compact"/>
              <w:jc w:val="left"/>
            </w:pPr>
            <w:r>
              <w:t xml:space="preserve">+1.7pp</w:t>
            </w:r>
          </w:p>
        </w:tc>
        <w:tc>
          <w:tcPr/>
          <w:p>
            <w:pPr>
              <w:pStyle w:val="Compact"/>
              <w:jc w:val="left"/>
            </w:pPr>
            <w:r>
              <w:t xml:space="preserve">29%</w:t>
            </w:r>
          </w:p>
        </w:tc>
      </w:tr>
    </w:tbl>
    <w:p>
      <w:pPr>
        <w:pStyle w:val="BodyText"/>
      </w:pPr>
      <w:r>
        <w:t xml:space="preserve">The 20% growth in private sector contracts demonstrates London's increasing demand for premium OT services beyond standard NHS provision. Notably, our occupational therapist-led neurorehabilitation packages generated 31% of total revenue—driven by London's high stroke incidence rate (28% above national average) and growing corporate wellness partnerships.</w:t>
      </w:r>
    </w:p>
    <w:bookmarkEnd w:id="22"/>
    <w:bookmarkEnd w:id="23"/>
    <w:bookmarkStart w:id="24" w:name="geographic-sales-distribution-in-london"/>
    <w:p>
      <w:pPr>
        <w:pStyle w:val="Heading2"/>
      </w:pPr>
      <w:r>
        <w:t xml:space="preserve">Geographic Sales Distribution in London</w:t>
      </w:r>
    </w:p>
    <w:p>
      <w:pPr>
        <w:pStyle w:val="FirstParagraph"/>
      </w:pPr>
      <w:r>
        <w:t xml:space="preserve">Sales performance reveals distinct regional patterns across London:</w:t>
      </w:r>
    </w:p>
    <w:p>
      <w:pPr>
        <w:numPr>
          <w:ilvl w:val="0"/>
          <w:numId w:val="1001"/>
        </w:numPr>
        <w:pStyle w:val="Compact"/>
      </w:pPr>
      <w:r>
        <w:rPr>
          <w:bCs/>
          <w:b/>
        </w:rPr>
        <w:t xml:space="preserve">Central London (City, Westminster):</w:t>
      </w:r>
      <w:r>
        <w:t xml:space="preserve"> </w:t>
      </w:r>
      <w:r>
        <w:t xml:space="preserve">35% of contracts focused on executive wellness programs and post-stroke recovery for high-income professionals. Average contract value £24,500.</w:t>
      </w:r>
    </w:p>
    <w:p>
      <w:pPr>
        <w:numPr>
          <w:ilvl w:val="0"/>
          <w:numId w:val="1001"/>
        </w:numPr>
        <w:pStyle w:val="Compact"/>
      </w:pPr>
      <w:r>
        <w:rPr>
          <w:bCs/>
          <w:b/>
        </w:rPr>
        <w:t xml:space="preserve">East London (Tower Hamlets, Newham):</w:t>
      </w:r>
      <w:r>
        <w:t xml:space="preserve"> </w:t>
      </w:r>
      <w:r>
        <w:t xml:space="preserve">42% of contracts linked to community-based elderly care and diabetes management. Highest growth in home assessment services (37% YoY).</w:t>
      </w:r>
    </w:p>
    <w:p>
      <w:pPr>
        <w:numPr>
          <w:ilvl w:val="0"/>
          <w:numId w:val="1001"/>
        </w:numPr>
        <w:pStyle w:val="Compact"/>
      </w:pPr>
      <w:r>
        <w:rPr>
          <w:bCs/>
          <w:b/>
        </w:rPr>
        <w:t xml:space="preserve">South London (Lambeth, Croydon):</w:t>
      </w:r>
      <w:r>
        <w:t xml:space="preserve"> </w:t>
      </w:r>
      <w:r>
        <w:t xml:space="preserve">23% of contracts serving pediatric OT needs (autism spectrum interventions). Demonstrated strongest NHS commissioning growth (+15.2%).</w:t>
      </w:r>
    </w:p>
    <w:p>
      <w:pPr>
        <w:pStyle w:val="FirstParagraph"/>
      </w:pPr>
      <w:r>
        <w:t xml:space="preserve">This geographic segmentation aligns with London's socioeconomic diversity—Central London clients prioritize speed and discretion, while East and South London demand culturally competent, community-integrated services.</w:t>
      </w:r>
    </w:p>
    <w:bookmarkEnd w:id="24"/>
    <w:bookmarkStart w:id="25" w:name="competitive-differentiation-factors"/>
    <w:p>
      <w:pPr>
        <w:pStyle w:val="Heading2"/>
      </w:pPr>
      <w:r>
        <w:t xml:space="preserve">Competitive Differentiation Factors</w:t>
      </w:r>
    </w:p>
    <w:p>
      <w:pPr>
        <w:pStyle w:val="FirstParagraph"/>
      </w:pPr>
      <w:r>
        <w:t xml:space="preserve">Our Sales Report identifies three critical success factors distinguishing our Occupational Therapist service in United Kingdom London:</w:t>
      </w:r>
    </w:p>
    <w:p>
      <w:pPr>
        <w:numPr>
          <w:ilvl w:val="0"/>
          <w:numId w:val="1002"/>
        </w:numPr>
        <w:pStyle w:val="Compact"/>
      </w:pPr>
      <w:r>
        <w:rPr>
          <w:bCs/>
          <w:b/>
        </w:rPr>
        <w:t xml:space="preserve">NHS Digital Integration:</w:t>
      </w:r>
      <w:r>
        <w:t xml:space="preserve"> </w:t>
      </w:r>
      <w:r>
        <w:t xml:space="preserve">Seamless interoperability with London's NHS X platform allows real-time progress tracking, reducing administrative costs by 22% versus competitors. This feature drove 74% of new NHS contracts.</w:t>
      </w:r>
    </w:p>
    <w:p>
      <w:pPr>
        <w:numPr>
          <w:ilvl w:val="0"/>
          <w:numId w:val="1002"/>
        </w:numPr>
        <w:pStyle w:val="Compact"/>
      </w:pPr>
      <w:r>
        <w:rPr>
          <w:bCs/>
          <w:b/>
        </w:rPr>
        <w:t xml:space="preserve">Clinical Specialization:</w:t>
      </w:r>
      <w:r>
        <w:t xml:space="preserve"> </w:t>
      </w:r>
      <w:r>
        <w:t xml:space="preserve">London-specific expertise in managing stroke recovery within the £30k+ private care market—our OTs completed 128 specialist assessments in Q3, outperforming regional competitors by 5.3x.</w:t>
      </w:r>
    </w:p>
    <w:p>
      <w:pPr>
        <w:numPr>
          <w:ilvl w:val="0"/>
          <w:numId w:val="1002"/>
        </w:numPr>
        <w:pStyle w:val="Compact"/>
      </w:pPr>
      <w:r>
        <w:rPr>
          <w:bCs/>
          <w:b/>
        </w:rPr>
        <w:t xml:space="preserve">Community Partnerships:</w:t>
      </w:r>
      <w:r>
        <w:t xml:space="preserve"> </w:t>
      </w:r>
      <w:r>
        <w:t xml:space="preserve">Collaborations with London boroughs (e.g., Camden's Care Coordination Hub) generated 47% of new contracts through trusted referral networks.</w:t>
      </w:r>
    </w:p>
    <w:bookmarkEnd w:id="25"/>
    <w:bookmarkStart w:id="26" w:name="challenges-and-strategic-opportunities"/>
    <w:p>
      <w:pPr>
        <w:pStyle w:val="Heading2"/>
      </w:pPr>
      <w:r>
        <w:t xml:space="preserve">Challenges and Strategic Opportunities</w:t>
      </w:r>
    </w:p>
    <w:p>
      <w:pPr>
        <w:pStyle w:val="FirstParagraph"/>
      </w:pPr>
      <w:r>
        <w:t xml:space="preserve">Despite strong growth, three challenges require immediate attention:</w:t>
      </w:r>
    </w:p>
    <w:p>
      <w:pPr>
        <w:numPr>
          <w:ilvl w:val="0"/>
          <w:numId w:val="1003"/>
        </w:numPr>
        <w:pStyle w:val="Compact"/>
      </w:pPr>
      <w:r>
        <w:rPr>
          <w:bCs/>
          <w:b/>
        </w:rPr>
        <w:t xml:space="preserve">Workforce Shortages:</w:t>
      </w:r>
      <w:r>
        <w:t xml:space="preserve"> </w:t>
      </w:r>
      <w:r>
        <w:t xml:space="preserve">London's 34% OT vacancy rate delays service delivery. We're implementing a university partnership program with University of London to address this.</w:t>
      </w:r>
    </w:p>
    <w:p>
      <w:pPr>
        <w:numPr>
          <w:ilvl w:val="0"/>
          <w:numId w:val="1003"/>
        </w:numPr>
        <w:pStyle w:val="Compact"/>
      </w:pPr>
      <w:r>
        <w:rPr>
          <w:bCs/>
          <w:b/>
        </w:rPr>
        <w:t xml:space="preserve">Pricing Pressure:</w:t>
      </w:r>
      <w:r>
        <w:t xml:space="preserve"> </w:t>
      </w:r>
      <w:r>
        <w:t xml:space="preserve">NHS commissioners demand 5-7% annual price reductions. Our solution: Value-based pricing models (e.g., £15k for 30-day stroke recovery package vs. standard £22k).</w:t>
      </w:r>
    </w:p>
    <w:p>
      <w:pPr>
        <w:numPr>
          <w:ilvl w:val="0"/>
          <w:numId w:val="1003"/>
        </w:numPr>
        <w:pStyle w:val="Compact"/>
      </w:pPr>
      <w:r>
        <w:rPr>
          <w:bCs/>
          <w:b/>
        </w:rPr>
        <w:t xml:space="preserve">Digital Adoption Gaps:</w:t>
      </w:r>
      <w:r>
        <w:t xml:space="preserve"> </w:t>
      </w:r>
      <w:r>
        <w:t xml:space="preserve">Only 41% of London care homes use digital OT tools versus our 93%. We're launching a free training initiative for care providers.</w:t>
      </w:r>
    </w:p>
    <w:p>
      <w:pPr>
        <w:pStyle w:val="FirstParagraph"/>
      </w:pPr>
      <w:r>
        <w:t xml:space="preserve">Key opportunities emerging from the Sales Report include:</w:t>
      </w:r>
    </w:p>
    <w:p>
      <w:pPr>
        <w:numPr>
          <w:ilvl w:val="0"/>
          <w:numId w:val="1004"/>
        </w:numPr>
        <w:pStyle w:val="Compact"/>
      </w:pPr>
      <w:r>
        <w:rPr>
          <w:bCs/>
          <w:b/>
        </w:rPr>
        <w:t xml:space="preserve">Ageing Population:</w:t>
      </w:r>
      <w:r>
        <w:t xml:space="preserve"> </w:t>
      </w:r>
      <w:r>
        <w:t xml:space="preserve">London's over-65 population will grow 22% by 2030—creating £48m annual market for dementia care OT services.</w:t>
      </w:r>
    </w:p>
    <w:p>
      <w:pPr>
        <w:numPr>
          <w:ilvl w:val="0"/>
          <w:numId w:val="1004"/>
        </w:numPr>
        <w:pStyle w:val="Compact"/>
      </w:pPr>
      <w:r>
        <w:rPr>
          <w:bCs/>
          <w:b/>
        </w:rPr>
        <w:t xml:space="preserve">Workplace Health:</w:t>
      </w:r>
      <w:r>
        <w:t xml:space="preserve"> </w:t>
      </w:r>
      <w:r>
        <w:t xml:space="preserve">Corporate demand for mental health OT packages surged 67% in Q3 (London offices of FTSE-100 companies).</w:t>
      </w:r>
    </w:p>
    <w:p>
      <w:pPr>
        <w:numPr>
          <w:ilvl w:val="0"/>
          <w:numId w:val="1004"/>
        </w:numPr>
        <w:pStyle w:val="Compact"/>
      </w:pPr>
      <w:r>
        <w:rPr>
          <w:bCs/>
          <w:b/>
        </w:rPr>
        <w:t xml:space="preserve">NHS Long Term Plan:</w:t>
      </w:r>
      <w:r>
        <w:t xml:space="preserve"> </w:t>
      </w:r>
      <w:r>
        <w:t xml:space="preserve">New funding streams specifically targeting occupational therapists for community rehabilitation.</w:t>
      </w:r>
    </w:p>
    <w:bookmarkEnd w:id="26"/>
    <w:bookmarkStart w:id="27" w:name="strategic-recommendations"/>
    <w:p>
      <w:pPr>
        <w:pStyle w:val="Heading2"/>
      </w:pPr>
      <w:r>
        <w:t xml:space="preserve">Strategic Recommendations</w:t>
      </w:r>
    </w:p>
    <w:p>
      <w:pPr>
        <w:pStyle w:val="FirstParagraph"/>
      </w:pPr>
      <w:r>
        <w:t xml:space="preserve">Based on this comprehensive Sales Report, we recommend three priority actions:</w:t>
      </w:r>
    </w:p>
    <w:p>
      <w:pPr>
        <w:numPr>
          <w:ilvl w:val="0"/>
          <w:numId w:val="1005"/>
        </w:numPr>
        <w:pStyle w:val="Compact"/>
      </w:pPr>
      <w:r>
        <w:rPr>
          <w:bCs/>
          <w:b/>
        </w:rPr>
        <w:t xml:space="preserve">Expand London-Specific OT Specializations:</w:t>
      </w:r>
      <w:r>
        <w:t xml:space="preserve"> </w:t>
      </w:r>
      <w:r>
        <w:t xml:space="preserve">Develop "London Mobility Packages" addressing unique urban challenges (e.g., public transport adaptation, multi-level home assessments) by Q1 2024.</w:t>
      </w:r>
    </w:p>
    <w:p>
      <w:pPr>
        <w:numPr>
          <w:ilvl w:val="0"/>
          <w:numId w:val="1005"/>
        </w:numPr>
        <w:pStyle w:val="Compact"/>
      </w:pPr>
      <w:r>
        <w:rPr>
          <w:bCs/>
          <w:b/>
        </w:rPr>
        <w:t xml:space="preserve">Forge Strategic NHS Alliances:</w:t>
      </w:r>
      <w:r>
        <w:t xml:space="preserve"> </w:t>
      </w:r>
      <w:r>
        <w:t xml:space="preserve">Target 5 new borough commissioning partnerships in East London where vacancy rates exceed 40%.</w:t>
      </w:r>
    </w:p>
    <w:p>
      <w:pPr>
        <w:numPr>
          <w:ilvl w:val="0"/>
          <w:numId w:val="1005"/>
        </w:numPr>
        <w:pStyle w:val="Compact"/>
      </w:pPr>
      <w:r>
        <w:rPr>
          <w:bCs/>
          <w:b/>
        </w:rPr>
        <w:t xml:space="preserve">Launch Corporate Wellness Division:</w:t>
      </w:r>
      <w:r>
        <w:t xml:space="preserve"> </w:t>
      </w:r>
      <w:r>
        <w:t xml:space="preserve">Capitalize on London's corporate demand by creating tiered OT packages for large employers (minimum £75k/year contracts).</w:t>
      </w:r>
    </w:p>
    <w:bookmarkEnd w:id="27"/>
    <w:bookmarkStart w:id="28" w:name="conclusion"/>
    <w:p>
      <w:pPr>
        <w:pStyle w:val="Heading2"/>
      </w:pPr>
      <w:r>
        <w:t xml:space="preserve">Conclusion</w:t>
      </w:r>
    </w:p>
    <w:p>
      <w:pPr>
        <w:pStyle w:val="FirstParagraph"/>
      </w:pPr>
      <w:r>
        <w:t xml:space="preserve">This Sales Report unequivocally confirms the Occupational Therapist service as a high-growth pillar within the United Kingdom London healthcare economy. Our strategic focus on London-specific clinical needs, digital integration, and community partnerships has created sustainable competitive advantage in a market where demand outstrips supply by 28%. The Q3 results position us for £4.2m annual revenue in London alone—representing 67% of our UK total—significantly ahead of the national market trajectory.</w:t>
      </w:r>
    </w:p>
    <w:p>
      <w:pPr>
        <w:pStyle w:val="BodyText"/>
      </w:pPr>
      <w:r>
        <w:t xml:space="preserve">As we move into Q4, our priority remains deepening penetration within London's unique socioeconomic fabric while scaling service models proven through this Sales Report. With occupational therapists now central to London's healthcare transformation, the strategic imperative is clear: invest in London-centric capabilities to capture 35%+ market share by 2025.</w:t>
      </w:r>
    </w:p>
    <w:p>
      <w:pPr>
        <w:pStyle w:val="BodyText"/>
      </w:pPr>
      <w:r>
        <w:rPr>
          <w:iCs/>
          <w:i/>
        </w:rPr>
        <w:t xml:space="preserve">Prepared by: Sales Strategy Division | Occupational Therapy Services Group | United Kingdom</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Occupational Therapist Sales Report - United Kingdom London</dc:title>
  <dc:creator/>
  <dc:language>en</dc:language>
  <cp:keywords/>
  <dcterms:created xsi:type="dcterms:W3CDTF">2025-12-10T15:46:34Z</dcterms:created>
  <dcterms:modified xsi:type="dcterms:W3CDTF">2025-12-10T15:46:34Z</dcterms:modified>
</cp:coreProperties>
</file>

<file path=docProps/custom.xml><?xml version="1.0" encoding="utf-8"?>
<Properties xmlns="http://schemas.openxmlformats.org/officeDocument/2006/custom-properties" xmlns:vt="http://schemas.openxmlformats.org/officeDocument/2006/docPropsVTypes"/>
</file>