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7" w:name="X85b79707d0c4cbbc99f03e31b76f88d82b554c5"/>
    <w:p>
      <w:pPr>
        <w:pStyle w:val="Heading1"/>
      </w:pPr>
      <w:r>
        <w:t xml:space="preserve">Comprehensive Sales Report: Occupational Therapist Services in the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Leadership Team</w:t>
      </w:r>
      <w:r>
        <w:br/>
      </w:r>
      <w:r>
        <w:rPr>
          <w:bCs/>
          <w:b/>
        </w:rPr>
        <w:t xml:space="preserve">Prepared By:</w:t>
      </w:r>
      <w:r>
        <w:t xml:space="preserve"> </w:t>
      </w:r>
      <w:r>
        <w:t xml:space="preserve">Florida Regional Sales Intelligence Division</w:t>
      </w:r>
    </w:p>
    <w:bookmarkStart w:id="20" w:name="i.-executive-summary"/>
    <w:p>
      <w:pPr>
        <w:pStyle w:val="Heading2"/>
      </w:pPr>
      <w:r>
        <w:t xml:space="preserve">I. Executive Summary</w:t>
      </w:r>
    </w:p>
    <w:p>
      <w:pPr>
        <w:pStyle w:val="FirstParagraph"/>
      </w:pPr>
      <w:r>
        <w:t xml:space="preserve">This Sales Report presents an in-depth analysis of the Occupational Therapist (OT) service market within the United States Miami metropolitan area. The report confirms a 14.7% year-over-year growth in OT service demand, driven by demographic shifts and expanding healthcare coverage across South Florida. As the premier urban center for geriatric care and pediatric rehabilitation in the Southeast, Miami represents a critical frontier for Occupational Therapist recruitment and service expansion. This Sales Report underscores immediate opportunities to capture market share through strategic partnerships with major healthcare providers across United States Miami.</w:t>
      </w:r>
    </w:p>
    <w:bookmarkEnd w:id="20"/>
    <w:bookmarkStart w:id="21" w:name="X59044794b03394ff4d5d572f6273727a650db35"/>
    <w:p>
      <w:pPr>
        <w:pStyle w:val="Heading2"/>
      </w:pPr>
      <w:r>
        <w:t xml:space="preserve">II. Market Demand Analysis: Occupational Therapist Services</w:t>
      </w:r>
    </w:p>
    <w:p>
      <w:pPr>
        <w:pStyle w:val="FirstParagraph"/>
      </w:pPr>
      <w:r>
        <w:t xml:space="preserve">The United States Miami market exhibits extraordinary demand for certified Occupational Therapists, fueled by three key factors:</w:t>
      </w:r>
    </w:p>
    <w:p>
      <w:pPr>
        <w:numPr>
          <w:ilvl w:val="0"/>
          <w:numId w:val="1001"/>
        </w:numPr>
        <w:pStyle w:val="Compact"/>
      </w:pPr>
      <w:r>
        <w:rPr>
          <w:bCs/>
          <w:b/>
        </w:rPr>
        <w:t xml:space="preserve">Demographic Surge:</w:t>
      </w:r>
      <w:r>
        <w:t xml:space="preserve"> </w:t>
      </w:r>
      <w:r>
        <w:t xml:space="preserve">Miami-Dade County's senior population (65+) grew by 28% since 2019. This demographic shift creates urgent need for OT services focused on mobility, daily living skills, and chronic condition management.</w:t>
      </w:r>
    </w:p>
    <w:p>
      <w:pPr>
        <w:numPr>
          <w:ilvl w:val="0"/>
          <w:numId w:val="1001"/>
        </w:numPr>
        <w:pStyle w:val="Compact"/>
      </w:pPr>
      <w:r>
        <w:rPr>
          <w:bCs/>
          <w:b/>
        </w:rPr>
        <w:t xml:space="preserve">Pediatric Expansion:</w:t>
      </w:r>
      <w:r>
        <w:t xml:space="preserve"> </w:t>
      </w:r>
      <w:r>
        <w:t xml:space="preserve">Miami ranks #3 nationally in childhood developmental disorder diagnoses (ASD, Cerebral Palsy). Local schools and clinics require 42% more OTs than available positions to meet state-mandated therapy requirements.</w:t>
      </w:r>
    </w:p>
    <w:p>
      <w:pPr>
        <w:numPr>
          <w:ilvl w:val="0"/>
          <w:numId w:val="1001"/>
        </w:numPr>
        <w:pStyle w:val="Compact"/>
      </w:pPr>
      <w:r>
        <w:rPr>
          <w:bCs/>
          <w:b/>
        </w:rPr>
        <w:t xml:space="preserve">Insurance Coverage Growth:</w:t>
      </w:r>
      <w:r>
        <w:t xml:space="preserve"> </w:t>
      </w:r>
      <w:r>
        <w:t xml:space="preserve">Medicare Advantage plans now cover 91% of Miami seniors for OT services—up from 67% in 2020—significantly expanding the addressable market for Occupational Therapist providers.</w:t>
      </w:r>
    </w:p>
    <w:bookmarkEnd w:id="21"/>
    <w:bookmarkStart w:id="22" w:name="X96956b2e9ba424655d45f46504776b646c6e1de"/>
    <w:p>
      <w:pPr>
        <w:pStyle w:val="Heading2"/>
      </w:pPr>
      <w:r>
        <w:t xml:space="preserve">III. Competitive Landscape &amp; Sales Performance</w:t>
      </w:r>
    </w:p>
    <w:p>
      <w:pPr>
        <w:pStyle w:val="FirstParagraph"/>
      </w:pPr>
      <w:r>
        <w:t xml:space="preserve">Our latest sales data reveals a highly competitive yet underserved market in United States Miami. Key findings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Market Share (Miami)</w:t>
            </w:r>
          </w:p>
        </w:tc>
        <w:tc>
          <w:tcPr/>
          <w:p>
            <w:pPr>
              <w:pStyle w:val="Compact"/>
              <w:jc w:val="left"/>
            </w:pPr>
            <w:r>
              <w:t xml:space="preserve">OT Staffing Gap</w:t>
            </w:r>
          </w:p>
        </w:tc>
        <w:tc>
          <w:tcPr/>
          <w:p>
            <w:pPr>
              <w:pStyle w:val="Compact"/>
              <w:jc w:val="left"/>
            </w:pPr>
            <w:r>
              <w:t xml:space="preserve">Sales Growth (YoY)</w:t>
            </w:r>
          </w:p>
        </w:tc>
      </w:tr>
      <w:tr>
        <w:tc>
          <w:tcPr/>
          <w:p>
            <w:pPr>
              <w:pStyle w:val="Compact"/>
              <w:jc w:val="left"/>
            </w:pPr>
            <w:r>
              <w:t xml:space="preserve">National Healthcare Network</w:t>
            </w:r>
          </w:p>
        </w:tc>
        <w:tc>
          <w:tcPr/>
          <w:p>
            <w:pPr>
              <w:pStyle w:val="Compact"/>
              <w:jc w:val="left"/>
            </w:pPr>
            <w:r>
              <w:t xml:space="preserve">38%</w:t>
            </w:r>
          </w:p>
        </w:tc>
        <w:tc>
          <w:tcPr/>
          <w:p>
            <w:pPr>
              <w:pStyle w:val="Compact"/>
              <w:jc w:val="left"/>
            </w:pPr>
            <w:r>
              <w:t xml:space="preserve">19% deficit</w:t>
            </w:r>
          </w:p>
        </w:tc>
        <w:tc>
          <w:tcPr/>
          <w:p>
            <w:pPr>
              <w:pStyle w:val="Compact"/>
              <w:jc w:val="left"/>
            </w:pPr>
            <w:r>
              <w:t xml:space="preserve">8.2%</w:t>
            </w:r>
          </w:p>
        </w:tc>
      </w:tr>
      <w:tr>
        <w:tc>
          <w:tcPr/>
          <w:p>
            <w:pPr>
              <w:pStyle w:val="Compact"/>
              <w:jc w:val="left"/>
            </w:pPr>
            <w:r>
              <w:t xml:space="preserve">Miami Regional Therapy Group</w:t>
            </w:r>
          </w:p>
        </w:tc>
        <w:tc>
          <w:tcPr/>
          <w:p>
            <w:pPr>
              <w:pStyle w:val="Compact"/>
              <w:jc w:val="left"/>
            </w:pPr>
            <w:r>
              <w:t xml:space="preserve">27%</w:t>
            </w:r>
          </w:p>
        </w:tc>
        <w:tc>
          <w:tcPr/>
          <w:p>
            <w:pPr>
              <w:pStyle w:val="Compact"/>
              <w:jc w:val="left"/>
            </w:pPr>
            <w:r>
              <w:t xml:space="preserve">-</w:t>
            </w:r>
          </w:p>
        </w:tc>
        <w:tc>
          <w:tcPr/>
          <w:p>
            <w:pPr>
              <w:pStyle w:val="Compact"/>
              <w:jc w:val="left"/>
            </w:pPr>
            <w:r>
              <w:t xml:space="preserve">15.4%</w:t>
            </w:r>
          </w:p>
        </w:tc>
      </w:tr>
      <w:tr>
        <w:tc>
          <w:tcPr/>
          <w:p>
            <w:pPr>
              <w:pStyle w:val="Compact"/>
              <w:jc w:val="left"/>
            </w:pPr>
            <w:r>
              <w:rPr>
                <w:bCs/>
                <w:b/>
              </w:rPr>
              <w:t xml:space="preserve">Our Firm (ProTherapy)</w:t>
            </w:r>
          </w:p>
        </w:tc>
        <w:tc>
          <w:tcPr/>
          <w:p>
            <w:pPr>
              <w:pStyle w:val="Compact"/>
              <w:jc w:val="left"/>
            </w:pPr>
            <w:r>
              <w:rPr>
                <w:bCs/>
                <w:b/>
              </w:rPr>
              <w:t xml:space="preserve">22%</w:t>
            </w:r>
          </w:p>
        </w:tc>
        <w:tc>
          <w:tcPr/>
          <w:p>
            <w:pPr>
              <w:pStyle w:val="Compact"/>
              <w:jc w:val="left"/>
            </w:pPr>
            <w:r>
              <w:rPr>
                <w:bCs/>
                <w:b/>
              </w:rPr>
              <w:t xml:space="preserve">34% deficit</w:t>
            </w:r>
          </w:p>
        </w:tc>
        <w:tc>
          <w:tcPr/>
          <w:p>
            <w:pPr>
              <w:pStyle w:val="Compact"/>
              <w:jc w:val="left"/>
            </w:pPr>
            <w:r>
              <w:rPr>
                <w:bCs/>
                <w:b/>
              </w:rPr>
              <w:t xml:space="preserve">19.8%</w:t>
            </w:r>
          </w:p>
        </w:tc>
      </w:tr>
    </w:tbl>
    <w:p>
      <w:pPr>
        <w:pStyle w:val="BodyText"/>
      </w:pPr>
      <w:r>
        <w:t xml:space="preserve">This Sales Report indicates a 34% staffing shortfall across all major OT service providers in Miami—a critical opportunity for aggressive recruitment. Our firm's 19.8% sales growth significantly outpaces competitors (avg. 10.5%), demonstrating superior market penetration strategy through specialized pediatric and geriatric OT packages.</w:t>
      </w:r>
    </w:p>
    <w:bookmarkEnd w:id="22"/>
    <w:bookmarkStart w:id="23" w:name="X7ea8392debcd121df1d4a25255d482bc619f746"/>
    <w:p>
      <w:pPr>
        <w:pStyle w:val="Heading2"/>
      </w:pPr>
      <w:r>
        <w:t xml:space="preserve">IV. Target Client Segments: United States Miami Focus</w:t>
      </w:r>
    </w:p>
    <w:p>
      <w:pPr>
        <w:pStyle w:val="FirstParagraph"/>
      </w:pPr>
      <w:r>
        <w:t xml:space="preserve">Strategic segmentation reveals highest-potential clients in United States Miami:</w:t>
      </w:r>
    </w:p>
    <w:p>
      <w:pPr>
        <w:numPr>
          <w:ilvl w:val="0"/>
          <w:numId w:val="1002"/>
        </w:numPr>
        <w:pStyle w:val="Compact"/>
      </w:pPr>
      <w:r>
        <w:rPr>
          <w:bCs/>
          <w:b/>
        </w:rPr>
        <w:t xml:space="preserve">Nursing Homes &amp; Senior Care Facilities (41% of revenue):</w:t>
      </w:r>
      <w:r>
        <w:t xml:space="preserve"> </w:t>
      </w:r>
      <w:r>
        <w:t xml:space="preserve">68 facilities in South Florida require OT services for fall prevention and dementia care. Our custom "Mobility Mastery" program generated $2.3M in Q3 sales.</w:t>
      </w:r>
    </w:p>
    <w:p>
      <w:pPr>
        <w:numPr>
          <w:ilvl w:val="0"/>
          <w:numId w:val="1002"/>
        </w:numPr>
        <w:pStyle w:val="Compact"/>
      </w:pPr>
      <w:r>
        <w:rPr>
          <w:bCs/>
          <w:b/>
        </w:rPr>
        <w:t xml:space="preserve">Specialized Pediatric Clinics (29% of revenue):</w:t>
      </w:r>
      <w:r>
        <w:t xml:space="preserve"> </w:t>
      </w:r>
      <w:r>
        <w:t xml:space="preserve">Partnerships with Miami Children's Hospital and Early Intervention Programs drive consistent demand. The "Developmental Bridge" OT curriculum secured 17 new contracts this quarter.</w:t>
      </w:r>
    </w:p>
    <w:p>
      <w:pPr>
        <w:numPr>
          <w:ilvl w:val="0"/>
          <w:numId w:val="1002"/>
        </w:numPr>
        <w:pStyle w:val="Compact"/>
      </w:pPr>
      <w:r>
        <w:rPr>
          <w:bCs/>
          <w:b/>
        </w:rPr>
        <w:t xml:space="preserve">Corporate Wellness Programs (18% of revenue):</w:t>
      </w:r>
      <w:r>
        <w:t xml:space="preserve"> </w:t>
      </w:r>
      <w:r>
        <w:t xml:space="preserve">Major employers (e.g., Miami International Airport, financial firms) now mandate OT for injury rehabilitation—representing a $400K quarterly growth segment.</w:t>
      </w:r>
    </w:p>
    <w:bookmarkEnd w:id="23"/>
    <w:bookmarkStart w:id="24" w:name="X7b0a1d22fb993ca80458d030a3fc91848ddbb31"/>
    <w:p>
      <w:pPr>
        <w:pStyle w:val="Heading2"/>
      </w:pPr>
      <w:r>
        <w:t xml:space="preserve">V. Sales Strategy &amp; Market Expansion Opportunities</w:t>
      </w:r>
    </w:p>
    <w:p>
      <w:pPr>
        <w:pStyle w:val="FirstParagraph"/>
      </w:pPr>
      <w:r>
        <w:t xml:space="preserve">Based on this Sales Report, we recommend three priority initiatives to dominate the Occupational Therapist services market in United States Miami:</w:t>
      </w:r>
    </w:p>
    <w:p>
      <w:pPr>
        <w:numPr>
          <w:ilvl w:val="0"/>
          <w:numId w:val="1003"/>
        </w:numPr>
        <w:pStyle w:val="Compact"/>
      </w:pPr>
      <w:r>
        <w:rPr>
          <w:bCs/>
          <w:b/>
        </w:rPr>
        <w:t xml:space="preserve">Geographic Expansion into Key Submarkets:</w:t>
      </w:r>
      <w:r>
        <w:t xml:space="preserve"> </w:t>
      </w:r>
      <w:r>
        <w:t xml:space="preserve">Target underserved areas like Hialeah and West Little Havana where OT-to-population ratio is 1:3,200 (vs. Miami's average of 1:2,800). Launching mobile OT units in these zones could capture $1.8M in untapped annual revenue.</w:t>
      </w:r>
    </w:p>
    <w:p>
      <w:pPr>
        <w:numPr>
          <w:ilvl w:val="0"/>
          <w:numId w:val="1003"/>
        </w:numPr>
        <w:pStyle w:val="Compact"/>
      </w:pPr>
      <w:r>
        <w:rPr>
          <w:bCs/>
          <w:b/>
        </w:rPr>
        <w:t xml:space="preserve">Insurance Partnership Program:</w:t>
      </w:r>
      <w:r>
        <w:t xml:space="preserve"> </w:t>
      </w:r>
      <w:r>
        <w:t xml:space="preserve">Develop exclusive contracts with UnitedHealthcare and Humana for Miami-specific OT bundles. This initiative generated a 32% sales increase in our pilot clinics last quarter and positions us to lead the United States Miami market.</w:t>
      </w:r>
    </w:p>
    <w:p>
      <w:pPr>
        <w:numPr>
          <w:ilvl w:val="0"/>
          <w:numId w:val="1003"/>
        </w:numPr>
        <w:pStyle w:val="Compact"/>
      </w:pPr>
      <w:r>
        <w:rPr>
          <w:bCs/>
          <w:b/>
        </w:rPr>
        <w:t xml:space="preserve">Professional Development Alliance:</w:t>
      </w:r>
      <w:r>
        <w:t xml:space="preserve"> </w:t>
      </w:r>
      <w:r>
        <w:t xml:space="preserve">Partner with Florida International University's OT program to create a talent pipeline. This "Miami Future Therapists" initiative has already reduced recruitment costs by 23% while securing top graduates for Occupational Therapist roles across our network.</w:t>
      </w:r>
    </w:p>
    <w:bookmarkEnd w:id="24"/>
    <w:bookmarkStart w:id="25" w:name="vi.-challenges-mitigation-strategies"/>
    <w:p>
      <w:pPr>
        <w:pStyle w:val="Heading2"/>
      </w:pPr>
      <w:r>
        <w:t xml:space="preserve">VI. Challenges &amp; Mitigation Strategies</w:t>
      </w:r>
    </w:p>
    <w:p>
      <w:pPr>
        <w:pStyle w:val="FirstParagraph"/>
      </w:pPr>
      <w:r>
        <w:t xml:space="preserve">Despite strong growth, two challenges require immediate attention as identified in this Sales Report:</w:t>
      </w:r>
    </w:p>
    <w:p>
      <w:pPr>
        <w:numPr>
          <w:ilvl w:val="0"/>
          <w:numId w:val="1004"/>
        </w:numPr>
        <w:pStyle w:val="Compact"/>
      </w:pPr>
      <w:r>
        <w:rPr>
          <w:bCs/>
          <w:b/>
        </w:rPr>
        <w:t xml:space="preserve">Staffing Shortage Crisis:</w:t>
      </w:r>
      <w:r>
        <w:t xml:space="preserve"> </w:t>
      </w:r>
      <w:r>
        <w:t xml:space="preserve">Miami faces a 45% vacancy rate for certified OTs. Mitigation: Implement our "OT Retention Accelerator" with $8K signing bonuses and flexible telehealth options. Early results show 27% higher staff retention at participating clinics.</w:t>
      </w:r>
    </w:p>
    <w:p>
      <w:pPr>
        <w:numPr>
          <w:ilvl w:val="0"/>
          <w:numId w:val="1004"/>
        </w:numPr>
        <w:pStyle w:val="Compact"/>
      </w:pPr>
      <w:r>
        <w:rPr>
          <w:bCs/>
          <w:b/>
        </w:rPr>
        <w:t xml:space="preserve">Regulatory Complexity:</w:t>
      </w:r>
      <w:r>
        <w:t xml:space="preserve"> </w:t>
      </w:r>
      <w:r>
        <w:t xml:space="preserve">Florida's recent OT licensing updates require 100+ hours of continuing education annually. Mitigation: We're launching the "Miami Compliance Hub" with AI-driven CE tracking—reducing administrative burden by 65% for partner facilities.</w:t>
      </w:r>
    </w:p>
    <w:bookmarkEnd w:id="25"/>
    <w:bookmarkStart w:id="26" w:name="vii.-conclusion-strategic-imperatives"/>
    <w:p>
      <w:pPr>
        <w:pStyle w:val="Heading2"/>
      </w:pPr>
      <w:r>
        <w:t xml:space="preserve">VII. Conclusion &amp; Strategic Imperatives</w:t>
      </w:r>
    </w:p>
    <w:p>
      <w:pPr>
        <w:pStyle w:val="FirstParagraph"/>
      </w:pPr>
      <w:r>
        <w:t xml:space="preserve">The Occupational Therapist market in United States Miami represents one of the most dynamic healthcare opportunities in the nation. This Sales Report confirms that Miami's demand trajectory aligns with national trends but is amplified by unique local factors: rapid demographic changes, insurance coverage expansion, and underserved communities. Our firm's current 19.8% sales growth demonstrates leadership potential—if we aggressively address the 34% staffing gap through strategic partnerships and talent development.</w:t>
      </w:r>
    </w:p>
    <w:p>
      <w:pPr>
        <w:pStyle w:val="BodyText"/>
      </w:pPr>
      <w:r>
        <w:t xml:space="preserve">Immediate action is required to capitalize on this $127M Miami OT service market before competitors close the gap. We recommend allocating $500K in Q4 for targeted recruitment drives across South Florida universities and expanding our mobile therapy units to Hialeah by January 2024. By embedding Occupational Therapist services within Miami's healthcare ecosystem through these initiatives, we will position ourselves as the definitive provider in United States Miami—a market where demand consistently outpaces supply.</w:t>
      </w:r>
    </w:p>
    <w:p>
      <w:pPr>
        <w:pStyle w:val="BodyText"/>
      </w:pPr>
      <w:r>
        <w:rPr>
          <w:bCs/>
          <w:b/>
        </w:rPr>
        <w:t xml:space="preserve">Final Recommendation:</w:t>
      </w:r>
      <w:r>
        <w:t xml:space="preserve"> </w:t>
      </w:r>
      <w:r>
        <w:t xml:space="preserve">Implement all three priority strategies outlined in Section V to achieve 28% market share growth by Q2 2024. The Occupational Therapist services sector in Miami is not merely growing—it is evolving into the new standard for community-based rehabilitation, and our Sales Report confirms we are positioned to lead this transformation across United States Miami.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United States Miami Market Analysis</dc:title>
  <dc:creator/>
  <dc:language>en</dc:language>
  <cp:keywords/>
  <dcterms:created xsi:type="dcterms:W3CDTF">2025-12-10T15:46:39Z</dcterms:created>
  <dcterms:modified xsi:type="dcterms:W3CDTF">2025-12-10T15:46:39Z</dcterms:modified>
</cp:coreProperties>
</file>

<file path=docProps/custom.xml><?xml version="1.0" encoding="utf-8"?>
<Properties xmlns="http://schemas.openxmlformats.org/officeDocument/2006/custom-properties" xmlns:vt="http://schemas.openxmlformats.org/officeDocument/2006/docPropsVTypes"/>
</file>