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31" w:name="X554a57d14981d8d2fa93f2caca66f2c53e501e2"/>
    <w:p>
      <w:pPr>
        <w:pStyle w:val="Heading1"/>
      </w:pPr>
      <w:r>
        <w:t xml:space="preserve">Sales Report: Oceanographer Product Line - Argentina Córdoba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 "Oceanographer," across the province of Argentina Córdoba during Q3 2023. Despite being a landlocked region with no direct ocean access, Argentina Córdoba has emerged as a remarkably fertile market for our marine science education solution. The Oceanographer platform—which simulates oceanographic research, ecosystem modeling, and climate impact analysis—has achieved 147% of quarterly sales targets, securing $328,500 in revenue from 127 institutional clients across Córdoba's public and private educational sectors. This success underscores a paradigm shift in regional environmental education priorities where landlocked markets are driving demand for ocean literacy tools.</w:t>
      </w:r>
    </w:p>
    <w:bookmarkEnd w:id="20"/>
    <w:bookmarkStart w:id="21" w:name="X6f551af09532ec2a6afe21785765ba5c168cbb7"/>
    <w:p>
      <w:pPr>
        <w:pStyle w:val="Heading2"/>
      </w:pPr>
      <w:r>
        <w:t xml:space="preserve">Market Context: Why "Oceanographer" in Argentina Córdoba?</w:t>
      </w:r>
    </w:p>
    <w:p>
      <w:pPr>
        <w:pStyle w:val="FirstParagraph"/>
      </w:pPr>
      <w:r>
        <w:t xml:space="preserve">Argentina Córdoba, home to 3.5 million residents and the nation's second-largest university system, presents unique educational opportunities. While lacking coastlines, the province hosts critical freshwater ecosystems including Lake Sanroque and the Suquía River Basin—vital for regional water security studies. Our sales strategy capitalizes on this reality by positioning "Oceanographer" as a transferable environmental science platform that teaches universal principles applicable to river systems, lakes, and climate resilience. The provincial government's 2023 "Education for Environmental Stewardship" initiative further accelerated demand, mandating marine science modules in all secondary schools by 2025.</w:t>
      </w:r>
    </w:p>
    <w:bookmarkEnd w:id="21"/>
    <w:bookmarkStart w:id="24" w:name="q3-sales-performance-breakdown"/>
    <w:p>
      <w:pPr>
        <w:pStyle w:val="Heading2"/>
      </w:pPr>
      <w:r>
        <w:t xml:space="preserve">Q3 Sales Performance Breakdown</w:t>
      </w:r>
    </w:p>
    <w:bookmarkStart w:id="22" w:name="revenue-streams-argentina-córdoba"/>
    <w:p>
      <w:pPr>
        <w:pStyle w:val="Heading3"/>
      </w:pPr>
      <w:r>
        <w:t xml:space="preserve">Revenue Streams (Argentina Córdoba)</w:t>
      </w:r>
    </w:p>
    <w:p>
      <w:pPr>
        <w:pStyle w:val="FirstParagraph"/>
      </w:pPr>
      <w:r>
        <w:t xml:space="preserve">Client Segment</w:t>
      </w:r>
    </w:p>
    <w:p>
      <w:pPr>
        <w:pStyle w:val="BodyText"/>
      </w:pPr>
      <w:r>
        <w:t xml:space="preserve">Sales Volume</w:t>
      </w:r>
    </w:p>
    <w:p>
      <w:pPr>
        <w:pStyle w:val="BodyText"/>
      </w:pPr>
      <w:r>
        <w:t xml:space="preserve">Revenue Contribution</w:t>
      </w:r>
    </w:p>
    <w:p>
      <w:pPr>
        <w:pStyle w:val="BodyText"/>
      </w:pPr>
      <w:r>
        <w:t xml:space="preserve">Growth vs. Q2 2023</w:t>
      </w:r>
    </w:p>
    <w:p>
      <w:pPr>
        <w:pStyle w:val="BodyText"/>
      </w:pPr>
      <w:r>
        <w:t xml:space="preserve">Public School Districts (Grades 7-12)</w:t>
      </w:r>
    </w:p>
    <w:p>
      <w:pPr>
        <w:pStyle w:val="BodyText"/>
      </w:pPr>
      <w:r>
        <w:t xml:space="preserve">84 licenses</w:t>
      </w:r>
    </w:p>
    <w:p>
      <w:pPr>
        <w:pStyle w:val="BodyText"/>
      </w:pPr>
      <w:r>
        <w:t xml:space="preserve">63%</w:t>
      </w:r>
    </w:p>
    <w:p>
      <w:pPr>
        <w:pStyle w:val="BodyText"/>
      </w:pPr>
      <w:r>
        <w:t xml:space="preserve">+89%</w:t>
      </w:r>
    </w:p>
    <w:p>
      <w:pPr>
        <w:pStyle w:val="BodyText"/>
      </w:pPr>
      <w:r>
        <w:t xml:space="preserve">National University of Córdoba (UNC) Departments</w:t>
      </w:r>
    </w:p>
    <w:p>
      <w:pPr>
        <w:pStyle w:val="BodyText"/>
      </w:pPr>
      <w:r>
        <w:t xml:space="preserve">19 licenses</w:t>
      </w:r>
    </w:p>
    <w:p>
      <w:pPr>
        <w:pStyle w:val="BodyText"/>
      </w:pPr>
      <w:r>
        <w:t xml:space="preserve">Revenue Contribution</w:t>
      </w:r>
    </w:p>
    <w:p>
      <w:pPr>
        <w:pStyle w:val="BodyText"/>
      </w:pPr>
      <w:r>
        <w:t xml:space="preserve">Growth vs. Q2 2023</w:t>
      </w:r>
    </w:p>
    <w:p>
      <w:pPr>
        <w:pStyle w:val="BodyText"/>
      </w:pPr>
      <w:r>
        <w:t xml:space="preserve">Environmental NGOs (e.g., Fundación Vida Silvestre)</w:t>
      </w:r>
    </w:p>
    <w:p>
      <w:pPr>
        <w:pStyle w:val="BodyText"/>
      </w:pPr>
      <w:r>
        <w:t xml:space="preserve">15 licenses</w:t>
      </w:r>
    </w:p>
    <w:p>
      <w:pPr>
        <w:pStyle w:val="BodyText"/>
      </w:pPr>
      <w:r>
        <w:t xml:space="preserve">18%</w:t>
      </w:r>
    </w:p>
    <w:p>
      <w:pPr>
        <w:pStyle w:val="BodyText"/>
      </w:pPr>
      <w:r>
        <w:t xml:space="preserve">+45%</w:t>
      </w:r>
    </w:p>
    <w:p>
      <w:pPr>
        <w:pStyle w:val="BodyText"/>
      </w:pPr>
      <w:r>
        <w:t xml:space="preserve">Private STEM Academies (e.g., Colegio del Salvador)</w:t>
      </w:r>
    </w:p>
    <w:p>
      <w:pPr>
        <w:pStyle w:val="BodyText"/>
      </w:pPr>
      <w:r>
        <w:t xml:space="preserve">Revenue Contribution</w:t>
      </w:r>
    </w:p>
    <w:p>
      <w:pPr>
        <w:pStyle w:val="BodyText"/>
      </w:pPr>
      <w:r>
        <w:t xml:space="preserve">Growth vs. Q2 2023</w:t>
      </w:r>
    </w:p>
    <w:p>
      <w:pPr>
        <w:pStyle w:val="BodyText"/>
      </w:pPr>
      <w:r>
        <w:t xml:space="preserve">Total</w:t>
      </w:r>
    </w:p>
    <w:p>
      <w:pPr>
        <w:pStyle w:val="BodyText"/>
      </w:pPr>
      <w:r>
        <w:t xml:space="preserve">118 licenses</w:t>
      </w:r>
    </w:p>
    <w:p>
      <w:pPr>
        <w:pStyle w:val="BodyText"/>
      </w:pPr>
      <w:r>
        <w:t xml:space="preserve">$328,500 USD</w:t>
      </w:r>
    </w:p>
    <w:p>
      <w:pPr>
        <w:pStyle w:val="BodyText"/>
      </w:pPr>
      <w:r>
        <w:t xml:space="preserve">147% of target</w:t>
      </w:r>
    </w:p>
    <w:bookmarkEnd w:id="22"/>
    <w:bookmarkStart w:id="23" w:name="X19f3d0062cea3193422bd0c000decad13738eef"/>
    <w:p>
      <w:pPr>
        <w:pStyle w:val="Heading3"/>
      </w:pPr>
      <w:r>
        <w:t xml:space="preserve">Critical Success Factors in Córdoba Market:</w:t>
      </w:r>
    </w:p>
    <w:p>
      <w:pPr>
        <w:numPr>
          <w:ilvl w:val="0"/>
          <w:numId w:val="1001"/>
        </w:numPr>
        <w:pStyle w:val="Compact"/>
      </w:pPr>
      <w:r>
        <w:rPr>
          <w:bCs/>
          <w:b/>
        </w:rPr>
        <w:t xml:space="preserve">Government Partnership:</w:t>
      </w:r>
      <w:r>
        <w:t xml:space="preserve"> </w:t>
      </w:r>
      <w:r>
        <w:t xml:space="preserve">Strategic collaboration with the Ministry of Education, Córdoba (MEC) resulting in 42% of sales via state procurement contracts.</w:t>
      </w:r>
    </w:p>
    <w:p>
      <w:pPr>
        <w:numPr>
          <w:ilvl w:val="0"/>
          <w:numId w:val="1001"/>
        </w:numPr>
        <w:pStyle w:val="Compact"/>
      </w:pPr>
      <w:r>
        <w:rPr>
          <w:bCs/>
          <w:b/>
        </w:rPr>
        <w:t xml:space="preserve">Cultural Relevance:</w:t>
      </w:r>
      <w:r>
        <w:t xml:space="preserve"> </w:t>
      </w:r>
      <w:r>
        <w:t xml:space="preserve">Localized content featuring Argentine freshwater ecosystems within the Oceanographer simulation engine—e.g., "Modeling Iguazú River Microplastic Impact."</w:t>
      </w:r>
    </w:p>
    <w:p>
      <w:pPr>
        <w:numPr>
          <w:ilvl w:val="0"/>
          <w:numId w:val="1001"/>
        </w:numPr>
        <w:pStyle w:val="Compact"/>
      </w:pPr>
      <w:r>
        <w:rPr>
          <w:bCs/>
          <w:b/>
        </w:rPr>
        <w:t xml:space="preserve">Teacher Training:</w:t>
      </w:r>
      <w:r>
        <w:t xml:space="preserve"> </w:t>
      </w:r>
      <w:r>
        <w:t xml:space="preserve">120+ educators certified in Oceanographer pedagogy through our Córdoba-based training hub (launched Q2), directly driving school adoptions.</w:t>
      </w:r>
    </w:p>
    <w:bookmarkEnd w:id="23"/>
    <w:bookmarkEnd w:id="24"/>
    <w:bookmarkStart w:id="25" w:name="customer-testimonials-real-world-impact"/>
    <w:p>
      <w:pPr>
        <w:pStyle w:val="Heading2"/>
      </w:pPr>
      <w:r>
        <w:t xml:space="preserve">Customer Testimonials: Real-World Impact</w:t>
      </w:r>
    </w:p>
    <w:p>
      <w:pPr>
        <w:pStyle w:val="BlockText"/>
      </w:pPr>
      <w:r>
        <w:t xml:space="preserve">"Oceanographer transformed our freshwater studies. Students used the platform to analyze Suquía River pollution data from Córdoba's watershed, creating real climate action proposals adopted by local government. This isn't about oceans—it's about teaching environmental systems thinking through a global lens."</w:t>
      </w:r>
    </w:p>
    <w:p>
      <w:pPr>
        <w:pStyle w:val="BlockText"/>
      </w:pPr>
      <w:r>
        <w:t xml:space="preserve">"We mandated Oceanographer for all 318 public secondary schools in Córdoba after pilot results showed 73% improvement in student engagement with environmental science. The platform's adaptability to landlocked contexts makes it uniquely valuable here."</w:t>
      </w:r>
    </w:p>
    <w:bookmarkEnd w:id="25"/>
    <w:bookmarkStart w:id="26" w:name="challenges-strategic-adaptations"/>
    <w:p>
      <w:pPr>
        <w:pStyle w:val="Heading2"/>
      </w:pPr>
      <w:r>
        <w:t xml:space="preserve">Challenges &amp; Strategic Adaptations</w:t>
      </w:r>
    </w:p>
    <w:p>
      <w:pPr>
        <w:pStyle w:val="FirstParagraph"/>
      </w:pPr>
      <w:r>
        <w:t xml:space="preserve">Initial market skepticism centered on "Why an ocean product for a landlocked region?" Our sales team overcame this by:</w:t>
      </w:r>
    </w:p>
    <w:p>
      <w:pPr>
        <w:numPr>
          <w:ilvl w:val="0"/>
          <w:numId w:val="1002"/>
        </w:numPr>
        <w:pStyle w:val="Compact"/>
      </w:pPr>
      <w:r>
        <w:rPr>
          <w:bCs/>
          <w:b/>
        </w:rPr>
        <w:t xml:space="preserve">Reframing the Value Proposition:</w:t>
      </w:r>
      <w:r>
        <w:t xml:space="preserve"> </w:t>
      </w:r>
      <w:r>
        <w:t xml:space="preserve">Positioning Oceanographer as a "Systems Thinking Platform" rather than marine-specific tool, emphasizing climate science transferability.</w:t>
      </w:r>
    </w:p>
    <w:p>
      <w:pPr>
        <w:numPr>
          <w:ilvl w:val="0"/>
          <w:numId w:val="1002"/>
        </w:numPr>
        <w:pStyle w:val="Compact"/>
      </w:pPr>
      <w:r>
        <w:rPr>
          <w:bCs/>
          <w:b/>
        </w:rPr>
        <w:t xml:space="preserve">Localized Case Studies:</w:t>
      </w:r>
      <w:r>
        <w:t xml:space="preserve"> </w:t>
      </w:r>
      <w:r>
        <w:t xml:space="preserve">Developing 27 Córdoba-specific simulations (e.g., "Biodiversity Shifts in Lagoons of the Quebrada de los Cuervos") to demonstrate relevance.</w:t>
      </w:r>
    </w:p>
    <w:p>
      <w:pPr>
        <w:numPr>
          <w:ilvl w:val="0"/>
          <w:numId w:val="1002"/>
        </w:numPr>
        <w:pStyle w:val="Compact"/>
      </w:pPr>
      <w:r>
        <w:rPr>
          <w:bCs/>
          <w:b/>
        </w:rPr>
        <w:t xml:space="preserve">Infrastructure Solutions:</w:t>
      </w:r>
      <w:r>
        <w:t xml:space="preserve"> </w:t>
      </w:r>
      <w:r>
        <w:t xml:space="preserve">Partnering with local ISPs to provide offline data sync capabilities for rural schools with limited connectivity.</w:t>
      </w:r>
    </w:p>
    <w:bookmarkEnd w:id="26"/>
    <w:bookmarkStart w:id="27" w:name="X9160042cf8ed6510a479017b9fa74585683224b"/>
    <w:p>
      <w:pPr>
        <w:pStyle w:val="Heading2"/>
      </w:pPr>
      <w:r>
        <w:t xml:space="preserve">Futuristic Market Expansion: Argentina Córdoba as a Model</w:t>
      </w:r>
    </w:p>
    <w:p>
      <w:pPr>
        <w:pStyle w:val="FirstParagraph"/>
      </w:pPr>
      <w:r>
        <w:t xml:space="preserve">The success in Argentina Córdoba has created a replicable framework for landlocked markets globally. Key initiatives planned for Q4 2023 include:</w:t>
      </w:r>
    </w:p>
    <w:p>
      <w:pPr>
        <w:numPr>
          <w:ilvl w:val="0"/>
          <w:numId w:val="1003"/>
        </w:numPr>
        <w:pStyle w:val="Compact"/>
      </w:pPr>
      <w:r>
        <w:rPr>
          <w:bCs/>
          <w:b/>
        </w:rPr>
        <w:t xml:space="preserve">Regional Hub Launch:</w:t>
      </w:r>
      <w:r>
        <w:t xml:space="preserve"> </w:t>
      </w:r>
      <w:r>
        <w:t xml:space="preserve">Establishing South America's first Oceanographer Innovation Center in Córdoba City to support Latin American institutions.</w:t>
      </w:r>
    </w:p>
    <w:p>
      <w:pPr>
        <w:numPr>
          <w:ilvl w:val="0"/>
          <w:numId w:val="1003"/>
        </w:numPr>
        <w:pStyle w:val="Compact"/>
      </w:pPr>
      <w:r>
        <w:rPr>
          <w:bCs/>
          <w:b/>
        </w:rPr>
        <w:t xml:space="preserve">Córdoba Curriculum Integration:</w:t>
      </w:r>
      <w:r>
        <w:t xml:space="preserve"> </w:t>
      </w:r>
      <w:r>
        <w:t xml:space="preserve">Co-developing K-12 modules with MEC aligned to Argentina's National Science Standards (NSES) 2023.</w:t>
      </w:r>
    </w:p>
    <w:p>
      <w:pPr>
        <w:numPr>
          <w:ilvl w:val="0"/>
          <w:numId w:val="1003"/>
        </w:numPr>
        <w:pStyle w:val="Compact"/>
      </w:pPr>
      <w:r>
        <w:rPr>
          <w:bCs/>
          <w:b/>
        </w:rPr>
        <w:t xml:space="preserve">Sustainability Partnerships:</w:t>
      </w:r>
      <w:r>
        <w:t xml:space="preserve"> </w:t>
      </w:r>
      <w:r>
        <w:t xml:space="preserve">Collaborating with Córdoba's water management authority (APUR) on "Youth Water Stewardship" programs using Oceanographer analytics.</w:t>
      </w:r>
    </w:p>
    <w:bookmarkEnd w:id="27"/>
    <w:bookmarkStart w:id="29" w:name="X5d8122857ba69856a5bff642b1f126cecf347d7"/>
    <w:p>
      <w:pPr>
        <w:pStyle w:val="Heading2"/>
      </w:pPr>
      <w:r>
        <w:t xml:space="preserve">Financial Outlook &amp; Strategic Recommendations</w:t>
      </w:r>
    </w:p>
    <w:p>
      <w:pPr>
        <w:pStyle w:val="FirstParagraph"/>
      </w:pPr>
      <w:r>
        <w:t xml:space="preserve">The Argentina Córdoba market demonstrates exceptional potential for high-margin educational software in non-coastal regions. We project 58% YoY growth in the province by Q3 2024, driven by:</w:t>
      </w:r>
    </w:p>
    <w:p>
      <w:pPr>
        <w:numPr>
          <w:ilvl w:val="0"/>
          <w:numId w:val="1004"/>
        </w:numPr>
        <w:pStyle w:val="Compact"/>
      </w:pPr>
      <w:r>
        <w:t xml:space="preserve">Expansion to 1,000+ schools via MEC's national education digitization plan</w:t>
      </w:r>
    </w:p>
    <w:p>
      <w:pPr>
        <w:numPr>
          <w:ilvl w:val="0"/>
          <w:numId w:val="1004"/>
        </w:numPr>
        <w:pStyle w:val="Compact"/>
      </w:pPr>
      <w:r>
        <w:t xml:space="preserve">New revenue streams from provincial environmental compliance training (e.g., for industrial wastewater management)</w:t>
      </w:r>
    </w:p>
    <w:p>
      <w:pPr>
        <w:numPr>
          <w:ilvl w:val="0"/>
          <w:numId w:val="1004"/>
        </w:numPr>
        <w:pStyle w:val="Compact"/>
      </w:pPr>
      <w:r>
        <w:t xml:space="preserve">Localization of Oceanographer for Argentina's Andean glacial systems (leveraging Córdoba's high-altitude research infrastructure)</w:t>
      </w:r>
    </w:p>
    <w:bookmarkStart w:id="28" w:name="immediate-action-items"/>
    <w:p>
      <w:pPr>
        <w:pStyle w:val="Heading3"/>
      </w:pPr>
      <w:r>
        <w:t xml:space="preserve">Immediate Action Items:</w:t>
      </w:r>
    </w:p>
    <w:p>
      <w:pPr>
        <w:numPr>
          <w:ilvl w:val="0"/>
          <w:numId w:val="1005"/>
        </w:numPr>
        <w:pStyle w:val="Compact"/>
      </w:pPr>
      <w:r>
        <w:t xml:space="preserve">Allocate $120,000 to scale the Córdoba training center capacity by 200%</w:t>
      </w:r>
    </w:p>
    <w:p>
      <w:pPr>
        <w:numPr>
          <w:ilvl w:val="0"/>
          <w:numId w:val="1005"/>
        </w:numPr>
        <w:pStyle w:val="Compact"/>
      </w:pPr>
      <w:r>
        <w:t xml:space="preserve">Develop a "Córdoba Water Systems" certification module for environmental professionals</w:t>
      </w:r>
    </w:p>
    <w:p>
      <w:pPr>
        <w:numPr>
          <w:ilvl w:val="0"/>
          <w:numId w:val="1005"/>
        </w:numPr>
        <w:pStyle w:val="Compact"/>
      </w:pPr>
      <w:r>
        <w:t xml:space="preserve">Prioritize government RFPs in Argentina Córdoba for all new provincial environmental initiatives</w:t>
      </w:r>
    </w:p>
    <w:bookmarkEnd w:id="28"/>
    <w:bookmarkEnd w:id="29"/>
    <w:bookmarkStart w:id="30" w:name="X99bce83c6b889a2925daa4f71fb52557bf484c1"/>
    <w:p>
      <w:pPr>
        <w:pStyle w:val="Heading2"/>
      </w:pPr>
      <w:r>
        <w:t xml:space="preserve">Conclusion: Redefining Environmental Education Geography</w:t>
      </w:r>
    </w:p>
    <w:p>
      <w:pPr>
        <w:pStyle w:val="FirstParagraph"/>
      </w:pPr>
      <w:r>
        <w:t xml:space="preserve">The Oceanographer sales performance in Argentina Córdoba shatters the misconception that marine science education requires coastal access. By strategically adapting our flagship product to solve local freshwater challenges through a global scientific lens, we've created a scalable model proving that environmental literacy transcends geography. In the heart of Argentina's landlocked powerhouse province, "Oceanographer" isn't just selling software—it's cultivating a generation of Argentine environmental stewards equipped to tackle water security in the Andean region. This success cements Córdoba as both our most valuable current market and a blueprint for all non-coastal territories seeking climate-ready education solutions. The data is clear: when you solve for local context, the ocean becomes irrelevant—the systems thinking is universal.</w:t>
      </w:r>
    </w:p>
    <w:p>
      <w:pPr>
        <w:pStyle w:val="BodyText"/>
      </w:pPr>
      <w:r>
        <w:rPr>
          <w:iCs/>
          <w:i/>
        </w:rPr>
        <w:t xml:space="preserve">Prepared by Global Education Solutions | Sales &amp; Strategy Division |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Argentina Córdoba Market Analysis</dc:title>
  <dc:creator/>
  <dc:language>en</dc:language>
  <cp:keywords/>
  <dcterms:created xsi:type="dcterms:W3CDTF">2026-07-21T14:11:04Z</dcterms:created>
  <dcterms:modified xsi:type="dcterms:W3CDTF">2026-07-21T14:11:04Z</dcterms:modified>
</cp:coreProperties>
</file>

<file path=docProps/custom.xml><?xml version="1.0" encoding="utf-8"?>
<Properties xmlns="http://schemas.openxmlformats.org/officeDocument/2006/custom-properties" xmlns:vt="http://schemas.openxmlformats.org/officeDocument/2006/docPropsVTypes"/>
</file>