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4362387ba5fd2cc3d91a18696a3f28fd309e862"/>
    <w:p>
      <w:pPr>
        <w:pStyle w:val="Heading1"/>
      </w:pPr>
      <w:r>
        <w:t xml:space="preserve">Q3 2023 Oceanographer Sales Performance Report: Colombia Bogotá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Oceanographer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Q3 sales performance of Oceanographer technology solutions across Colombia Bogotá, the nation's central hub for marine science education and policy development. Despite Bogotá's landlocked geography (4,000m elevation), we achieved 127% of quarterly targets through strategic partnerships with coastal research institutions. Total revenue reached $895,200 USD from 37 enterprise contracts, representing a 34% year-over-year increase in the Colombian market. Key drivers included government grants for marine conservation and Bogotá-based university collaborations.</w:t>
      </w:r>
    </w:p>
    <w:bookmarkEnd w:id="20"/>
    <w:bookmarkStart w:id="21" w:name="X4c4972c02884bef294f7614c5c12b81da24f951"/>
    <w:p>
      <w:pPr>
        <w:pStyle w:val="Heading2"/>
      </w:pPr>
      <w:r>
        <w:t xml:space="preserve">II. Market Context: Oceanography in Colombia Bogotá</w:t>
      </w:r>
    </w:p>
    <w:p>
      <w:pPr>
        <w:pStyle w:val="FirstParagraph"/>
      </w:pPr>
      <w:r>
        <w:t xml:space="preserve">Colombia's oceanographic sector is uniquely positioned as a national priority, with 3,000km of coastline along the Pacific and Caribbean Sea requiring advanced monitoring systems. Although Bogotá lacks direct sea access, it serves as the administrative and academic nerve center for Colombia's marine initiatives. The city hosts:</w:t>
      </w:r>
    </w:p>
    <w:p>
      <w:pPr>
        <w:numPr>
          <w:ilvl w:val="0"/>
          <w:numId w:val="1001"/>
        </w:numPr>
        <w:pStyle w:val="Compact"/>
      </w:pPr>
      <w:r>
        <w:t xml:space="preserve">Corporación Universidad de la Costa (CUC) – National Oceanography Program</w:t>
      </w:r>
    </w:p>
    <w:p>
      <w:pPr>
        <w:numPr>
          <w:ilvl w:val="0"/>
          <w:numId w:val="1001"/>
        </w:numPr>
        <w:pStyle w:val="Compact"/>
      </w:pPr>
      <w:r>
        <w:t xml:space="preserve">Ministry of Environment (MADS) Bogotá headquarters</w:t>
      </w:r>
    </w:p>
    <w:p>
      <w:pPr>
        <w:numPr>
          <w:ilvl w:val="0"/>
          <w:numId w:val="1001"/>
        </w:numPr>
        <w:pStyle w:val="Compact"/>
      </w:pPr>
      <w:r>
        <w:t xml:space="preserve">National Research Institute for Marine Sciences (INOCAR)</w:t>
      </w:r>
    </w:p>
    <w:p>
      <w:pPr>
        <w:pStyle w:val="FirstParagraph"/>
      </w:pPr>
      <w:r>
        <w:t xml:space="preserve">The "Oceanographer" product suite—comprising AI-powered ocean monitoring platforms and predictive modeling software—has become indispensable for these institutions managing Colombia's marine biodiversity under the National Strategy for Sustainable Oceans 2023-2030. Bogotá-based entities account for 78% of Colombia's national oceanographic R&amp;D investment.</w:t>
      </w:r>
    </w:p>
    <w:bookmarkEnd w:id="21"/>
    <w:bookmarkStart w:id="22" w:name="Xa652404baecbabe503f9e806df9208361138874"/>
    <w:p>
      <w:pPr>
        <w:pStyle w:val="Heading2"/>
      </w:pPr>
      <w:r>
        <w:t xml:space="preserve">III. Q3 Sales Performance: Colombia Bogotá</w:t>
      </w:r>
    </w:p>
    <w:p>
      <w:pPr>
        <w:pStyle w:val="FirstParagraph"/>
      </w:pPr>
      <w:r>
        <w:t xml:space="preserve">Product Line</w:t>
      </w:r>
    </w:p>
    <w:p>
      <w:pPr>
        <w:pStyle w:val="BodyText"/>
      </w:pPr>
      <w:r>
        <w:t xml:space="preserve">Units Sold (Bogotá)</w:t>
      </w:r>
    </w:p>
    <w:p>
      <w:pPr>
        <w:pStyle w:val="BodyText"/>
      </w:pPr>
      <w:r>
        <w:t xml:space="preserve">Revenue Generated</w:t>
      </w:r>
    </w:p>
    <w:p>
      <w:pPr>
        <w:pStyle w:val="BodyText"/>
      </w:pPr>
      <w:r>
        <w:t xml:space="preserve">% of Total Colombia Sales</w:t>
      </w:r>
    </w:p>
    <w:p>
      <w:pPr>
        <w:pStyle w:val="BodyText"/>
      </w:pPr>
      <w:r>
        <w:t xml:space="preserve">Oceanographer PRO Enterprise Suite</w:t>
      </w:r>
    </w:p>
    <w:p>
      <w:pPr>
        <w:pStyle w:val="BodyText"/>
      </w:pPr>
      <w:r>
        <w:t xml:space="preserve">18</w:t>
      </w:r>
    </w:p>
    <w:p>
      <w:pPr>
        <w:pStyle w:val="BodyText"/>
      </w:pPr>
      <w:r>
        <w:t xml:space="preserve">$420,500</w:t>
      </w:r>
    </w:p>
    <w:p>
      <w:pPr>
        <w:pStyle w:val="BodyText"/>
      </w:pPr>
      <w:r>
        <w:t xml:space="preserve">47%</w:t>
      </w:r>
    </w:p>
    <w:p>
      <w:pPr>
        <w:pStyle w:val="BodyText"/>
      </w:pPr>
      <w:r>
        <w:t xml:space="preserve">Oceanographer Mobile Field Kit</w:t>
      </w:r>
    </w:p>
    <w:p>
      <w:pPr>
        <w:pStyle w:val="BodyText"/>
      </w:pPr>
      <w:r>
        <w:t xml:space="preserve">9</w:t>
      </w:r>
    </w:p>
    <w:p>
      <w:pPr>
        <w:pStyle w:val="BodyText"/>
      </w:pPr>
      <w:r>
        <w:t xml:space="preserve">&lt;</w:t>
      </w:r>
    </w:p>
    <w:p>
      <w:pPr>
        <w:pStyle w:val="BodyText"/>
      </w:pPr>
      <w:r>
        <w:t xml:space="preserve">$215,300</w:t>
      </w:r>
    </w:p>
    <w:p>
      <w:pPr>
        <w:pStyle w:val="BodyText"/>
      </w:pPr>
      <w:r>
        <w:t xml:space="preserve">Oceanographer Analytics Cloud (SaaS)</w:t>
      </w:r>
    </w:p>
    <w:p>
      <w:pPr>
        <w:pStyle w:val="BodyText"/>
      </w:pPr>
      <w:r>
        <w:t xml:space="preserve">12$259,400</w:t>
      </w:r>
    </w:p>
    <w:p>
      <w:pPr>
        <w:pStyle w:val="BodyText"/>
      </w:pPr>
      <w:r>
        <w:t xml:space="preserve">TOTAL</w:t>
      </w:r>
    </w:p>
    <w:p>
      <w:pPr>
        <w:pStyle w:val="BodyText"/>
      </w:pPr>
      <w:r>
        <w:t xml:space="preserve">39</w:t>
      </w:r>
    </w:p>
    <w:p>
      <w:pPr>
        <w:pStyle w:val="BodyText"/>
      </w:pPr>
      <w:r>
        <w:t xml:space="preserve">$895,200</w:t>
      </w:r>
    </w:p>
    <w:p>
      <w:pPr>
        <w:pStyle w:val="BodyText"/>
      </w:pPr>
      <w:r>
        <w:t xml:space="preserve">Key highlights:</w:t>
      </w:r>
    </w:p>
    <w:p>
      <w:pPr>
        <w:numPr>
          <w:ilvl w:val="0"/>
          <w:numId w:val="1002"/>
        </w:numPr>
        <w:pStyle w:val="Compact"/>
      </w:pPr>
      <w:r>
        <w:t xml:space="preserve">Record-breaking enterprise sales to Universidad Nacional de Colombia (Bogotá) for coastal ecosystem monitoring across 12 Pacific sites</w:t>
      </w:r>
    </w:p>
    <w:p>
      <w:pPr>
        <w:numPr>
          <w:ilvl w:val="0"/>
          <w:numId w:val="1002"/>
        </w:numPr>
        <w:pStyle w:val="Compact"/>
      </w:pPr>
      <w:r>
        <w:t xml:space="preserve">34% increase in government contracts through MADS (Ministry of Environment) initiatives</w:t>
      </w:r>
    </w:p>
    <w:p>
      <w:pPr>
        <w:numPr>
          <w:ilvl w:val="0"/>
          <w:numId w:val="1002"/>
        </w:numPr>
        <w:pStyle w:val="Compact"/>
      </w:pPr>
      <w:r>
        <w:t xml:space="preserve">Mobile Field Kits gained traction with Bogotá-based NGO "Fundación Océano Azul" for coral reef restoration projects</w:t>
      </w:r>
    </w:p>
    <w:bookmarkEnd w:id="22"/>
    <w:bookmarkStart w:id="23" w:name="Xea892668b7116a6717a8309b868aa0631f0df6a"/>
    <w:p>
      <w:pPr>
        <w:pStyle w:val="Heading2"/>
      </w:pPr>
      <w:r>
        <w:t xml:space="preserve">IV. Customer Success Story: Universidad Nacional de Colombia</w:t>
      </w:r>
    </w:p>
    <w:p>
      <w:pPr>
        <w:pStyle w:val="FirstParagraph"/>
      </w:pPr>
      <w:r>
        <w:t xml:space="preserve">The $310,000 contract signed in August 2023 represents a pivotal moment for Oceanographer in Colombia Bogotá. The university deployed Oceanographer PRO across its research vessels operating from Buenaventura (Pacific Coast) and Cartagena (Caribbean). This partnership enables real-time tracking of:</w:t>
      </w:r>
    </w:p>
    <w:p>
      <w:pPr>
        <w:numPr>
          <w:ilvl w:val="0"/>
          <w:numId w:val="1003"/>
        </w:numPr>
        <w:pStyle w:val="Compact"/>
      </w:pPr>
      <w:r>
        <w:t xml:space="preserve">El Niño climate patterns impacting Colombian fisheries</w:t>
      </w:r>
    </w:p>
    <w:p>
      <w:pPr>
        <w:numPr>
          <w:ilvl w:val="0"/>
          <w:numId w:val="1003"/>
        </w:numPr>
        <w:pStyle w:val="Compact"/>
      </w:pPr>
      <w:r>
        <w:t xml:space="preserve">Coral bleaching events in the Seaflower Biosphere Reserve</w:t>
      </w:r>
    </w:p>
    <w:p>
      <w:pPr>
        <w:numPr>
          <w:ilvl w:val="0"/>
          <w:numId w:val="1003"/>
        </w:numPr>
        <w:pStyle w:val="Compact"/>
      </w:pPr>
      <w:r>
        <w:t xml:space="preserve">Plastic pollution migration routes along coastlines</w:t>
      </w:r>
    </w:p>
    <w:p>
      <w:pPr>
        <w:pStyle w:val="FirstParagraph"/>
      </w:pPr>
      <w:r>
        <w:t xml:space="preserve">"Oceanographer's predictive analytics reduced our data processing time by 63%," noted Dr. Elena Montoya, Director of Marine Research at UNAL Bogotá. "This system is now central to Colombia's national ocean management strategy."</w:t>
      </w:r>
    </w:p>
    <w:bookmarkEnd w:id="23"/>
    <w:bookmarkStart w:id="24" w:name="v.-market-challenges-strategic-responses"/>
    <w:p>
      <w:pPr>
        <w:pStyle w:val="Heading2"/>
      </w:pPr>
      <w:r>
        <w:t xml:space="preserve">V. Market Challenges &amp; Strategic Responses</w:t>
      </w:r>
    </w:p>
    <w:p>
      <w:pPr>
        <w:pStyle w:val="FirstParagraph"/>
      </w:pPr>
      <w:r>
        <w:rPr>
          <w:bCs/>
          <w:b/>
        </w:rPr>
        <w:t xml:space="preserve">Challenge 1:</w:t>
      </w:r>
      <w:r>
        <w:t xml:space="preserve"> </w:t>
      </w:r>
      <w:r>
        <w:t xml:space="preserve">Landlocked positioning creates perception barriers for ocean-related solutions in Bogotá.</w:t>
      </w:r>
    </w:p>
    <w:p>
      <w:pPr>
        <w:pStyle w:val="BodyText"/>
      </w:pPr>
      <w:r>
        <w:rPr>
          <w:iCs/>
          <w:i/>
        </w:rPr>
        <w:t xml:space="preserve">Response:</w:t>
      </w:r>
      <w:r>
        <w:t xml:space="preserve"> </w:t>
      </w:r>
      <w:r>
        <w:t xml:space="preserve">Launched "Bogotá Ocean Hub" initiative showcasing coastal data dashboards via virtual reality at industry conferences. This demonstrated how inland analytics drive marine decision-making, attracting 12 new prospects.</w:t>
      </w:r>
    </w:p>
    <w:p>
      <w:pPr>
        <w:pStyle w:val="BodyText"/>
      </w:pPr>
      <w:r>
        <w:rPr>
          <w:bCs/>
          <w:b/>
        </w:rPr>
        <w:t xml:space="preserve">Challenge 2:</w:t>
      </w:r>
      <w:r>
        <w:t xml:space="preserve"> </w:t>
      </w:r>
      <w:r>
        <w:t xml:space="preserve">Budget constraints in Colombian government institutions after fiscal reforms.</w:t>
      </w:r>
    </w:p>
    <w:p>
      <w:pPr>
        <w:pStyle w:val="BodyText"/>
      </w:pPr>
      <w:r>
        <w:rPr>
          <w:iCs/>
          <w:i/>
        </w:rPr>
        <w:t xml:space="preserve">Response:</w:t>
      </w:r>
      <w:r>
        <w:t xml:space="preserve"> </w:t>
      </w:r>
      <w:r>
        <w:t xml:space="preserve">Introduced tiered financing with MADS for Phase 1 (data collection) and Phase 2 (AI analytics). This enabled two $150K+ contracts that would have been delayed otherwise.</w:t>
      </w:r>
    </w:p>
    <w:bookmarkEnd w:id="24"/>
    <w:bookmarkStart w:id="25" w:name="X79b4acfe5b51134966b112f2eb1d64016b05308"/>
    <w:p>
      <w:pPr>
        <w:pStyle w:val="Heading2"/>
      </w:pPr>
      <w:r>
        <w:t xml:space="preserve">VI. Growth Opportunities in Colombia Bogotá</w:t>
      </w:r>
    </w:p>
    <w:p>
      <w:pPr>
        <w:pStyle w:val="FirstParagraph"/>
      </w:pPr>
      <w:r>
        <w:t xml:space="preserve">Bogotá's position as Colombia's knowledge capital offers three strategic expansion vectors:</w:t>
      </w:r>
    </w:p>
    <w:p>
      <w:pPr>
        <w:numPr>
          <w:ilvl w:val="0"/>
          <w:numId w:val="1004"/>
        </w:numPr>
        <w:pStyle w:val="Compact"/>
      </w:pPr>
      <w:r>
        <w:rPr>
          <w:bCs/>
          <w:b/>
        </w:rPr>
        <w:t xml:space="preserve">University Partnerships:</w:t>
      </w:r>
      <w:r>
        <w:t xml:space="preserve"> </w:t>
      </w:r>
      <w:r>
        <w:t xml:space="preserve">80% of Colombian marine scientists trained in Bogotá. Targeting 3 new curriculum integrations with Universidad de los Andes and Javeriana University by Q1 2024.</w:t>
      </w:r>
    </w:p>
    <w:p>
      <w:pPr>
        <w:numPr>
          <w:ilvl w:val="0"/>
          <w:numId w:val="1004"/>
        </w:numPr>
        <w:pStyle w:val="Compact"/>
      </w:pPr>
      <w:r>
        <w:rPr>
          <w:bCs/>
          <w:b/>
        </w:rPr>
        <w:t xml:space="preserve">Government Contracts:</w:t>
      </w:r>
      <w:r>
        <w:t xml:space="preserve"> </w:t>
      </w:r>
      <w:r>
        <w:t xml:space="preserve">MADS' $12M annual budget for marine technology (67% allocated to Bogotá offices) presents immediate opportunity. Currently at 38% market penetration in this segment.</w:t>
      </w:r>
    </w:p>
    <w:p>
      <w:pPr>
        <w:numPr>
          <w:ilvl w:val="0"/>
          <w:numId w:val="1004"/>
        </w:numPr>
        <w:pStyle w:val="Compact"/>
      </w:pPr>
      <w:r>
        <w:rPr>
          <w:bCs/>
          <w:b/>
        </w:rPr>
        <w:t xml:space="preserve">Corporate Sustainability:</w:t>
      </w:r>
      <w:r>
        <w:t xml:space="preserve"> </w:t>
      </w:r>
      <w:r>
        <w:t xml:space="preserve">Growing demand from Colombian oil/gas firms (e.g., Ecopetrol, BP Colombia) for Oceanographer's pollution monitoring systems to meet ESG requirements.</w:t>
      </w:r>
    </w:p>
    <w:bookmarkEnd w:id="25"/>
    <w:bookmarkStart w:id="26" w:name="vii.-strategic-recommendations"/>
    <w:p>
      <w:pPr>
        <w:pStyle w:val="Heading2"/>
      </w:pPr>
      <w:r>
        <w:t xml:space="preserve">VII. Strategic Recommendations</w:t>
      </w:r>
    </w:p>
    <w:p>
      <w:pPr>
        <w:pStyle w:val="FirstParagraph"/>
      </w:pPr>
      <w:r>
        <w:t xml:space="preserve">For sustained growth in Colombia Bogotá, we propose:</w:t>
      </w:r>
    </w:p>
    <w:p>
      <w:pPr>
        <w:numPr>
          <w:ilvl w:val="0"/>
          <w:numId w:val="1005"/>
        </w:numPr>
        <w:pStyle w:val="Compact"/>
      </w:pPr>
      <w:r>
        <w:rPr>
          <w:bCs/>
          <w:b/>
        </w:rPr>
        <w:t xml:space="preserve">Establish Permanent Bogotá R&amp;D Center:</w:t>
      </w:r>
      <w:r>
        <w:t xml:space="preserve"> </w:t>
      </w:r>
      <w:r>
        <w:t xml:space="preserve">Dedicate $500K for local AI model training using Colombian ocean data (e.g., Pacific upwelling patterns). This would accelerate solution customization and build institutional trust.</w:t>
      </w:r>
    </w:p>
    <w:p>
      <w:pPr>
        <w:numPr>
          <w:ilvl w:val="0"/>
          <w:numId w:val="1005"/>
        </w:numPr>
        <w:pStyle w:val="Compact"/>
      </w:pPr>
      <w:r>
        <w:rPr>
          <w:bCs/>
          <w:b/>
        </w:rPr>
        <w:t xml:space="preserve">Leverage University Networks:</w:t>
      </w:r>
      <w:r>
        <w:t xml:space="preserve"> </w:t>
      </w:r>
      <w:r>
        <w:t xml:space="preserve">Develop "Oceanographer Certified Specialist" certification program with UNAL, creating pipeline of 150+ trained personnel annually for client deployments.</w:t>
      </w:r>
    </w:p>
    <w:p>
      <w:pPr>
        <w:numPr>
          <w:ilvl w:val="0"/>
          <w:numId w:val="1005"/>
        </w:numPr>
        <w:pStyle w:val="Compact"/>
      </w:pPr>
      <w:r>
        <w:rPr>
          <w:bCs/>
          <w:b/>
        </w:rPr>
        <w:t xml:space="preserve">Government Partnership Summit:</w:t>
      </w:r>
      <w:r>
        <w:t xml:space="preserve"> </w:t>
      </w:r>
      <w:r>
        <w:t xml:space="preserve">Host Colombia's first Oceanography Policy Forum in Bogotá (Q2 2024) with MADS and coastal mayors to co-create national standards.</w:t>
      </w:r>
    </w:p>
    <w:bookmarkEnd w:id="26"/>
    <w:bookmarkStart w:id="27" w:name="viii.-conclusion"/>
    <w:p>
      <w:pPr>
        <w:pStyle w:val="Heading2"/>
      </w:pPr>
      <w:r>
        <w:t xml:space="preserve">VIII. Conclusion</w:t>
      </w:r>
    </w:p>
    <w:p>
      <w:pPr>
        <w:pStyle w:val="FirstParagraph"/>
      </w:pPr>
      <w:r>
        <w:t xml:space="preserve">The Colombia Bogotá market has proven itself as a critical catalyst for Oceanographer's regional success. Our Q3 performance demonstrates that strategic positioning—framing oceanographic technology as a knowledge-driven solution accessible from the nation's capital—creates unique value in Colombia's marine management ecosystem. As Bogotá continues to drive national ocean policy, Oceanographer is positioned not just as a vendor, but as an indispensable partner in Colombia's sustainable maritime future. We project 45% revenue growth for Colombia in 2024, with Bogotá remaining the central engine of this expansion.</w:t>
      </w:r>
    </w:p>
    <w:p>
      <w:pPr>
        <w:pStyle w:val="BodyText"/>
      </w:pPr>
      <w:r>
        <w:rPr>
          <w:bCs/>
          <w:b/>
        </w:rPr>
        <w:t xml:space="preserve">Prepared By:</w:t>
      </w:r>
      <w:r>
        <w:t xml:space="preserve"> </w:t>
      </w:r>
      <w:r>
        <w:t xml:space="preserve">Latin America Sales Division - Oceanographer</w:t>
      </w:r>
      <w:r>
        <w:br/>
      </w:r>
      <w:r>
        <w:rPr>
          <w:bCs/>
          <w:b/>
        </w:rPr>
        <w:t xml:space="preserve">Contact:</w:t>
      </w:r>
      <w:r>
        <w:t xml:space="preserve"> </w:t>
      </w:r>
      <w:r>
        <w:t xml:space="preserve">sales.colombia@oceanographer.com | +57 1 300-XXXX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 Colombia Bogotá</dc:title>
  <dc:creator/>
  <dc:language>en</dc:language>
  <cp:keywords/>
  <dcterms:created xsi:type="dcterms:W3CDTF">2026-06-02T23:36:24Z</dcterms:created>
  <dcterms:modified xsi:type="dcterms:W3CDTF">2026-06-02T23:36:24Z</dcterms:modified>
</cp:coreProperties>
</file>

<file path=docProps/custom.xml><?xml version="1.0" encoding="utf-8"?>
<Properties xmlns="http://schemas.openxmlformats.org/officeDocument/2006/custom-properties" xmlns:vt="http://schemas.openxmlformats.org/officeDocument/2006/docPropsVTypes"/>
</file>