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Ltd.</w:t>
      </w:r>
      <w:r>
        <w:t xml:space="preserve"> </w:t>
      </w:r>
      <w:r>
        <w:t xml:space="preserve">-</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8" w:name="X3408ac5f686100a98c1e3a5e045edb3e3e7caa4"/>
    <w:p>
      <w:pPr>
        <w:pStyle w:val="Heading1"/>
      </w:pPr>
      <w:r>
        <w:t xml:space="preserve">Sales Report - Oceanographer Solutions Ltd. | Egypt Alexandria Market Performance (Q3 2023)</w:t>
      </w:r>
    </w:p>
    <w:p>
      <w:pPr>
        <w:pStyle w:val="FirstParagraph"/>
      </w:pPr>
      <w:r>
        <w:t xml:space="preserve">Prepared for Executive Leadership &amp; Stakeholders | October 15, 2023</w:t>
      </w:r>
    </w:p>
    <w:bookmarkStart w:id="20" w:name="executive-summary"/>
    <w:p>
      <w:pPr>
        <w:pStyle w:val="Heading2"/>
      </w:pPr>
      <w:r>
        <w:t xml:space="preserve">Executive Summary</w:t>
      </w:r>
    </w:p>
    <w:p>
      <w:pPr>
        <w:pStyle w:val="FirstParagraph"/>
      </w:pPr>
      <w:r>
        <w:t xml:space="preserve">This Sales Report details the strategic performance of Oceanographer Solutions Ltd. in Egypt Alexandria during Q3 2023. As a premier provider of advanced oceanographic instrumentation and marine data analytics, our Alexandria operations demonstrated exceptional growth (18.7% YoY) amid rising environmental awareness across Egypt's coastal regions. This report confirms that our tailored solutions for marine research institutions, port authorities, and tourism operators in Egypt Alexandria are meeting critical market demands. The sustained focus on localizing Oceanographer technology has positioned us as the preferred partner for sustainable ocean management in North Africa.</w:t>
      </w:r>
    </w:p>
    <w:bookmarkEnd w:id="20"/>
    <w:bookmarkStart w:id="21" w:name="market-analysis-egypt-alexandria-context"/>
    <w:p>
      <w:pPr>
        <w:pStyle w:val="Heading2"/>
      </w:pPr>
      <w:r>
        <w:t xml:space="preserve">Market Analysis: Egypt Alexandria Context</w:t>
      </w:r>
    </w:p>
    <w:p>
      <w:pPr>
        <w:pStyle w:val="FirstParagraph"/>
      </w:pPr>
      <w:r>
        <w:t xml:space="preserve">Alexandria, Egypt remains the epicenter of marine research in the country, home to the prestigious Alexandria Marine Science Institute (AMSI) and strategic port operations. Our Sales Report identifies three key growth catalysts:</w:t>
      </w:r>
    </w:p>
    <w:p>
      <w:pPr>
        <w:numPr>
          <w:ilvl w:val="0"/>
          <w:numId w:val="1001"/>
        </w:numPr>
        <w:pStyle w:val="Compact"/>
      </w:pPr>
      <w:r>
        <w:rPr>
          <w:bCs/>
          <w:b/>
        </w:rPr>
        <w:t xml:space="preserve">Government Initiatives:</w:t>
      </w:r>
      <w:r>
        <w:t xml:space="preserve"> </w:t>
      </w:r>
      <w:r>
        <w:t xml:space="preserve">Egypt's National Strategy for Sustainable Seas (2021-2030) has allocated $45M for coastal monitoring, directly benefiting Oceanographer Solutions' sensor networks in Alexandria</w:t>
      </w:r>
    </w:p>
    <w:p>
      <w:pPr>
        <w:numPr>
          <w:ilvl w:val="0"/>
          <w:numId w:val="1001"/>
        </w:numPr>
        <w:pStyle w:val="Compact"/>
      </w:pPr>
      <w:r>
        <w:rPr>
          <w:bCs/>
          <w:b/>
        </w:rPr>
        <w:t xml:space="preserve">Tourism Demand:</w:t>
      </w:r>
      <w:r>
        <w:t xml:space="preserve"> </w:t>
      </w:r>
      <w:r>
        <w:t xml:space="preserve">78% of luxury resorts along Egypt Alexandria's Mediterranean coast now require real-time water quality data – a core offering from our Oceanographer suite</w:t>
      </w:r>
    </w:p>
    <w:p>
      <w:pPr>
        <w:numPr>
          <w:ilvl w:val="0"/>
          <w:numId w:val="1001"/>
        </w:numPr>
        <w:pStyle w:val="Compact"/>
      </w:pPr>
      <w:r>
        <w:rPr>
          <w:bCs/>
          <w:b/>
        </w:rPr>
        <w:t xml:space="preserve">Environmental Urgency:</w:t>
      </w:r>
      <w:r>
        <w:t xml:space="preserve"> </w:t>
      </w:r>
      <w:r>
        <w:t xml:space="preserve">Alarming coral bleaching events in the Eastern Mediterranean have accelerated demand for our predictive oceanographic analytics among Egyptian environmental agencies</w:t>
      </w:r>
    </w:p>
    <w:bookmarkEnd w:id="21"/>
    <w:bookmarkStart w:id="24" w:name="sales-performance-breakdown-q3-2023"/>
    <w:p>
      <w:pPr>
        <w:pStyle w:val="Heading2"/>
      </w:pPr>
      <w:r>
        <w:t xml:space="preserve">Sales Performance Breakdown (Q3 2023)</w:t>
      </w:r>
    </w:p>
    <w:bookmarkStart w:id="22" w:name="product-service-revenue"/>
    <w:p>
      <w:pPr>
        <w:pStyle w:val="Heading3"/>
      </w:pPr>
      <w:r>
        <w:t xml:space="preserve">Product &amp; Service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Revenue (EGP)</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Real-Time Water Quality Sensors (Oceanographer M-Series)</w:t>
            </w:r>
          </w:p>
        </w:tc>
        <w:tc>
          <w:tcPr/>
          <w:p>
            <w:pPr>
              <w:pStyle w:val="Compact"/>
              <w:jc w:val="left"/>
            </w:pPr>
            <w:r>
              <w:t xml:space="preserve">14,820,000</w:t>
            </w:r>
          </w:p>
        </w:tc>
        <w:tc>
          <w:tcPr/>
          <w:p>
            <w:pPr>
              <w:pStyle w:val="Compact"/>
              <w:jc w:val="left"/>
            </w:pPr>
            <w:r>
              <w:t xml:space="preserve">52.3%</w:t>
            </w:r>
          </w:p>
        </w:tc>
        <w:tc>
          <w:tcPr/>
          <w:p>
            <w:pPr>
              <w:pStyle w:val="Compact"/>
              <w:jc w:val="left"/>
            </w:pPr>
            <w:r>
              <w:t xml:space="preserve">+24.6%</w:t>
            </w:r>
          </w:p>
        </w:tc>
      </w:tr>
      <w:tr>
        <w:tc>
          <w:tcPr/>
          <w:p>
            <w:pPr>
              <w:pStyle w:val="Compact"/>
              <w:jc w:val="left"/>
            </w:pPr>
            <w:r>
              <w:t xml:space="preserve">Marine Data Analytics Platform (Oceanographer Insights)</w:t>
            </w:r>
          </w:p>
        </w:tc>
        <w:tc>
          <w:tcPr/>
          <w:p>
            <w:pPr>
              <w:pStyle w:val="Compact"/>
              <w:jc w:val="left"/>
            </w:pPr>
            <w:r>
              <w:t xml:space="preserve">8,250,000</w:t>
            </w:r>
          </w:p>
        </w:tc>
        <w:tc>
          <w:tcPr/>
          <w:p>
            <w:pPr>
              <w:pStyle w:val="Compact"/>
              <w:jc w:val="left"/>
            </w:pPr>
            <w:r>
              <w:t xml:space="preserve">29.1%</w:t>
            </w:r>
          </w:p>
        </w:tc>
        <w:tc>
          <w:tcPr/>
          <w:p>
            <w:pPr>
              <w:pStyle w:val="Compact"/>
              <w:jc w:val="left"/>
            </w:pPr>
            <w:r>
              <w:t xml:space="preserve">+37.8%</w:t>
            </w:r>
          </w:p>
        </w:tc>
      </w:tr>
      <w:tr>
        <w:tc>
          <w:tcPr/>
          <w:p>
            <w:pPr>
              <w:pStyle w:val="Compact"/>
              <w:jc w:val="left"/>
            </w:pPr>
            <w:r>
              <w:t xml:space="preserve">Coastal Monitoring Consultancy</w:t>
            </w:r>
          </w:p>
        </w:tc>
        <w:tc>
          <w:tcPr/>
          <w:p>
            <w:pPr>
              <w:pStyle w:val="Compact"/>
              <w:jc w:val="left"/>
            </w:pPr>
            <w:r>
              <w:t xml:space="preserve">4,165,000</w:t>
            </w:r>
          </w:p>
        </w:tc>
        <w:tc>
          <w:tcPr/>
          <w:p>
            <w:pPr>
              <w:pStyle w:val="Compact"/>
              <w:jc w:val="left"/>
            </w:pPr>
            <w:r>
              <w:t xml:space="preserve">14.7%</w:t>
            </w:r>
          </w:p>
        </w:tc>
        <w:tc>
          <w:tcPr/>
          <w:p>
            <w:pPr>
              <w:pStyle w:val="Compact"/>
              <w:jc w:val="left"/>
            </w:pPr>
            <w:r>
              <w:t xml:space="preserve">+12.4%</w:t>
            </w:r>
          </w:p>
        </w:tc>
      </w:tr>
      <w:tr>
        <w:tc>
          <w:tcPr/>
          <w:p>
            <w:pPr>
              <w:pStyle w:val="Compact"/>
              <w:jc w:val="left"/>
            </w:pPr>
            <w:r>
              <w:t xml:space="preserve">Total</w:t>
            </w:r>
          </w:p>
        </w:tc>
        <w:tc>
          <w:tcPr/>
          <w:p>
            <w:pPr>
              <w:pStyle w:val="Compact"/>
              <w:jc w:val="left"/>
            </w:pPr>
            <w:r>
              <w:rPr>
                <w:bCs/>
                <w:b/>
              </w:rPr>
              <w:t xml:space="preserve">27,235,000</w:t>
            </w:r>
          </w:p>
        </w:tc>
        <w:tc>
          <w:tcPr/>
          <w:p>
            <w:pPr>
              <w:pStyle w:val="Compact"/>
              <w:jc w:val="left"/>
            </w:pPr>
            <w:r>
              <w:rPr>
                <w:bCs/>
                <w:b/>
              </w:rPr>
              <w:t xml:space="preserve">100%</w:t>
            </w:r>
          </w:p>
        </w:tc>
        <w:tc>
          <w:tcPr/>
          <w:p>
            <w:pPr>
              <w:pStyle w:val="Compact"/>
              <w:jc w:val="left"/>
            </w:pPr>
            <w:r>
              <w:rPr>
                <w:bCs/>
                <w:b/>
              </w:rPr>
              <w:t xml:space="preserve">+21.3%</w:t>
            </w:r>
          </w:p>
        </w:tc>
      </w:tr>
    </w:tbl>
    <w:bookmarkEnd w:id="22"/>
    <w:bookmarkStart w:id="23" w:name="Xc2ab6fe5597e273c16365b161e298af8a295b99"/>
    <w:p>
      <w:pPr>
        <w:pStyle w:val="Heading3"/>
      </w:pPr>
      <w:r>
        <w:t xml:space="preserve">Geographic Performance within Egypt Alexandria</w:t>
      </w:r>
    </w:p>
    <w:p>
      <w:pPr>
        <w:pStyle w:val="FirstParagraph"/>
      </w:pPr>
      <w:r>
        <w:t xml:space="preserve">Our sales strategy in Egypt Alexandria leveraged hyper-localized engagement:</w:t>
      </w:r>
    </w:p>
    <w:p>
      <w:pPr>
        <w:numPr>
          <w:ilvl w:val="0"/>
          <w:numId w:val="1002"/>
        </w:numPr>
        <w:pStyle w:val="Compact"/>
      </w:pPr>
      <w:r>
        <w:rPr>
          <w:bCs/>
          <w:b/>
        </w:rPr>
        <w:t xml:space="preserve">Port Authority Partnership:</w:t>
      </w:r>
      <w:r>
        <w:t xml:space="preserve"> </w:t>
      </w:r>
      <w:r>
        <w:t xml:space="preserve">Secured a landmark $5.2M contract with Alexandria Port Authority for integrated monitoring systems across all container terminals (18% of total sales)</w:t>
      </w:r>
    </w:p>
    <w:p>
      <w:pPr>
        <w:numPr>
          <w:ilvl w:val="0"/>
          <w:numId w:val="1002"/>
        </w:numPr>
        <w:pStyle w:val="Compact"/>
      </w:pPr>
      <w:r>
        <w:rPr>
          <w:bCs/>
          <w:b/>
        </w:rPr>
        <w:t xml:space="preserve">Tourism Sector Expansion:</w:t>
      </w:r>
      <w:r>
        <w:t xml:space="preserve"> </w:t>
      </w:r>
      <w:r>
        <w:t xml:space="preserve">Onboarded 32 high-end resorts along the Corniche waterfront – representing 41% of service revenue</w:t>
      </w:r>
    </w:p>
    <w:bookmarkEnd w:id="23"/>
    <w:bookmarkEnd w:id="24"/>
    <w:bookmarkStart w:id="25" w:name="X4dca1e918f0a5943974bac59aa471a42b8bf2f3"/>
    <w:p>
      <w:pPr>
        <w:pStyle w:val="Heading2"/>
      </w:pPr>
      <w:r>
        <w:t xml:space="preserve">Key Growth Drivers &amp; Oceanographer Differentiation</w:t>
      </w:r>
    </w:p>
    <w:p>
      <w:pPr>
        <w:pStyle w:val="FirstParagraph"/>
      </w:pPr>
      <w:r>
        <w:t xml:space="preserve">Three factors cemented our leadership in Egypt Alexandria:</w:t>
      </w:r>
    </w:p>
    <w:p>
      <w:pPr>
        <w:numPr>
          <w:ilvl w:val="0"/>
          <w:numId w:val="1003"/>
        </w:numPr>
        <w:pStyle w:val="Compact"/>
      </w:pPr>
      <w:r>
        <w:rPr>
          <w:bCs/>
          <w:b/>
        </w:rPr>
        <w:t xml:space="preserve">Cultural Alignment:</w:t>
      </w:r>
      <w:r>
        <w:t xml:space="preserve"> </w:t>
      </w:r>
      <w:r>
        <w:t xml:space="preserve">Our team of certified Egyptian oceanographers provides on-ground expertise that resonates with local stakeholders. This 'Oceanographer' approach ensures solutions align with Mediterranean ecological nuances – a critical advantage over international competitors.</w:t>
      </w:r>
    </w:p>
    <w:p>
      <w:pPr>
        <w:numPr>
          <w:ilvl w:val="0"/>
          <w:numId w:val="1003"/>
        </w:numPr>
        <w:pStyle w:val="Compact"/>
      </w:pPr>
      <w:r>
        <w:rPr>
          <w:bCs/>
          <w:b/>
        </w:rPr>
        <w:t xml:space="preserve">Cost Efficiency:</w:t>
      </w:r>
      <w:r>
        <w:t xml:space="preserve"> </w:t>
      </w:r>
      <w:r>
        <w:t xml:space="preserve">By establishing Alexandria-based assembly for our M-Series sensors, we reduced delivery times by 42% versus global suppliers. This operational model directly addresses Egypt Alexandria's need for rapid response to marine incidents.</w:t>
      </w:r>
    </w:p>
    <w:p>
      <w:pPr>
        <w:numPr>
          <w:ilvl w:val="0"/>
          <w:numId w:val="1003"/>
        </w:numPr>
        <w:pStyle w:val="Compact"/>
      </w:pPr>
      <w:r>
        <w:rPr>
          <w:bCs/>
          <w:b/>
        </w:rPr>
        <w:t xml:space="preserve">Sustainability Integration:</w:t>
      </w:r>
      <w:r>
        <w:t xml:space="preserve"> </w:t>
      </w:r>
      <w:r>
        <w:t xml:space="preserve">The Egyptian government prioritizes eco-tourism; our data platforms now include "Carbon Footprint Reports" – a feature driving 68% of new consultancy contracts in Egypt Alexandria.</w:t>
      </w:r>
    </w:p>
    <w:bookmarkEnd w:id="25"/>
    <w:bookmarkStart w:id="26" w:name="challenges-strategic-recommendations"/>
    <w:p>
      <w:pPr>
        <w:pStyle w:val="Heading2"/>
      </w:pPr>
      <w:r>
        <w:t xml:space="preserve">Challenges &amp; Strategic Recommendations</w:t>
      </w:r>
    </w:p>
    <w:p>
      <w:pPr>
        <w:pStyle w:val="FirstParagraph"/>
      </w:pPr>
      <w:r>
        <w:t xml:space="preserve">Despite strong growth, our Sales Report identifies two critical challenges requiring immediate action:</w:t>
      </w:r>
    </w:p>
    <w:p>
      <w:pPr>
        <w:numPr>
          <w:ilvl w:val="0"/>
          <w:numId w:val="1004"/>
        </w:numPr>
        <w:pStyle w:val="Compact"/>
      </w:pPr>
      <w:r>
        <w:rPr>
          <w:bCs/>
          <w:b/>
        </w:rPr>
        <w:t xml:space="preserve">Regulatory Hurdles:</w:t>
      </w:r>
      <w:r>
        <w:t xml:space="preserve"> </w:t>
      </w:r>
      <w:r>
        <w:t xml:space="preserve">Delays in Egyptian customs approvals for imported sensor components increased project timelines by 17 days.</w:t>
      </w:r>
      <w:r>
        <w:t xml:space="preserve"> </w:t>
      </w:r>
      <w:r>
        <w:rPr>
          <w:iCs/>
          <w:i/>
        </w:rPr>
        <w:t xml:space="preserve">Action: Propose local partnerships with Alexandria Industrial Zone manufacturers</w:t>
      </w:r>
    </w:p>
    <w:p>
      <w:pPr>
        <w:numPr>
          <w:ilvl w:val="0"/>
          <w:numId w:val="1004"/>
        </w:numPr>
        <w:pStyle w:val="Compact"/>
      </w:pPr>
      <w:r>
        <w:rPr>
          <w:bCs/>
          <w:b/>
        </w:rPr>
        <w:t xml:space="preserve">Talent Shortage:</w:t>
      </w:r>
      <w:r>
        <w:t xml:space="preserve"> </w:t>
      </w:r>
      <w:r>
        <w:t xml:space="preserve">Demand for certified marine data analysts exceeds supply in Egypt Alexandria.</w:t>
      </w:r>
      <w:r>
        <w:t xml:space="preserve"> </w:t>
      </w:r>
      <w:r>
        <w:rPr>
          <w:iCs/>
          <w:i/>
        </w:rPr>
        <w:t xml:space="preserve">Action: Launch "Oceanographer Academy" with AMSI for localized training</w:t>
      </w:r>
    </w:p>
    <w:p>
      <w:pPr>
        <w:pStyle w:val="FirstParagraph"/>
      </w:pPr>
      <w:r>
        <w:t xml:space="preserve">"In Egypt Alexandria, success isn't just about selling technology – it's about becoming the trusted Oceanographer partner for marine sustainability. Our sales strategy must evolve from product delivery to ecosystem leadership in North Africa's most important coastal city."</w:t>
      </w:r>
    </w:p>
    <w:bookmarkEnd w:id="26"/>
    <w:bookmarkStart w:id="27" w:name="conclusion-q4-outlook"/>
    <w:p>
      <w:pPr>
        <w:pStyle w:val="Heading2"/>
      </w:pPr>
      <w:r>
        <w:t xml:space="preserve">Conclusion &amp; Q4 Outlook</w:t>
      </w:r>
    </w:p>
    <w:p>
      <w:pPr>
        <w:pStyle w:val="FirstParagraph"/>
      </w:pPr>
      <w:r>
        <w:t xml:space="preserve">This Sales Report confirms Oceanographer Solutions Ltd.'s pivotal role in Egypt Alexandria's marine conservation ecosystem. With the Alexandria Port Authority contract alone generating $1.2M in recurring revenue annually, our localized model proves scalable across Egypt's coastal cities. We project 25% growth for Q4 through three initiatives:</w:t>
      </w:r>
    </w:p>
    <w:p>
      <w:pPr>
        <w:numPr>
          <w:ilvl w:val="0"/>
          <w:numId w:val="1005"/>
        </w:numPr>
        <w:pStyle w:val="Compact"/>
      </w:pPr>
      <w:r>
        <w:t xml:space="preserve">Expansion into Egyptian Red Sea monitoring (leveraging Alexandria's expertise)</w:t>
      </w:r>
    </w:p>
    <w:p>
      <w:pPr>
        <w:numPr>
          <w:ilvl w:val="0"/>
          <w:numId w:val="1005"/>
        </w:numPr>
        <w:pStyle w:val="Compact"/>
      </w:pPr>
      <w:r>
        <w:t xml:space="preserve">Government co-funding for the Oceanographer Academy</w:t>
      </w:r>
    </w:p>
    <w:p>
      <w:pPr>
        <w:numPr>
          <w:ilvl w:val="0"/>
          <w:numId w:val="1005"/>
        </w:numPr>
        <w:pStyle w:val="Compact"/>
      </w:pPr>
      <w:r>
        <w:t xml:space="preserve">Partnership with Egypt's Ministry of Tourism to deploy sensors at all major coastal destinations</w:t>
      </w:r>
    </w:p>
    <w:p>
      <w:pPr>
        <w:pStyle w:val="FirstParagraph"/>
      </w:pPr>
      <w:r>
        <w:t xml:space="preserve">"Egypt Alexandria is not just a market – it's the launchpad for Oceanographer Solutions' continental leadership. This Sales Report marks our transition from regional vendor to strategic oceanographic partner for Egypt's sustainable future."</w:t>
      </w:r>
    </w:p>
    <w:p>
      <w:pPr>
        <w:pStyle w:val="BodyText"/>
      </w:pPr>
      <w:r>
        <w:t xml:space="preserve">Prepared by: Oceanographer Solutions Ltd. Sales Intelligence Team</w:t>
      </w:r>
    </w:p>
    <w:p>
      <w:pPr>
        <w:pStyle w:val="BodyText"/>
      </w:pPr>
      <w:r>
        <w:t xml:space="preserve">Date of Report Completion: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Ltd. - Egypt Alexandria Market Analysis</dc:title>
  <dc:creator/>
  <cp:keywords/>
  <dcterms:created xsi:type="dcterms:W3CDTF">2026-07-21T08:46:59Z</dcterms:created>
  <dcterms:modified xsi:type="dcterms:W3CDTF">2026-07-21T08:46:59Z</dcterms:modified>
</cp:coreProperties>
</file>

<file path=docProps/custom.xml><?xml version="1.0" encoding="utf-8"?>
<Properties xmlns="http://schemas.openxmlformats.org/officeDocument/2006/custom-properties" xmlns:vt="http://schemas.openxmlformats.org/officeDocument/2006/docPropsVTypes"/>
</file>