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Product</w:t>
      </w:r>
      <w:r>
        <w:t xml:space="preserve"> </w:t>
      </w:r>
      <w:r>
        <w:t xml:space="preserve">Line</w:t>
      </w:r>
      <w:r>
        <w:t xml:space="preserve"> </w:t>
      </w:r>
      <w:r>
        <w:t xml:space="preserve">-</w:t>
      </w:r>
      <w:r>
        <w:t xml:space="preserve"> </w:t>
      </w:r>
      <w:r>
        <w:t xml:space="preserve">Japan</w:t>
      </w:r>
      <w:r>
        <w:t xml:space="preserve"> </w:t>
      </w:r>
      <w:r>
        <w:t xml:space="preserve">Kyoto</w:t>
      </w:r>
      <w:r>
        <w:t xml:space="preserve"> </w:t>
      </w:r>
      <w:r>
        <w:t xml:space="preserve">Market</w:t>
      </w:r>
    </w:p>
    <w:bookmarkStart w:id="29" w:name="X75090a7b6be81a9cc04700063aa9231af2712c5"/>
    <w:p>
      <w:pPr>
        <w:pStyle w:val="Heading1"/>
      </w:pPr>
      <w:r>
        <w:t xml:space="preserve">Sales Report: Oceanographer Product Line Performance in Japan Kyoto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Prepared By:</w:t>
      </w:r>
      <w:r>
        <w:t xml:space="preserve"> </w:t>
      </w:r>
      <w:r>
        <w:t xml:space="preserve">Kansai Regional Sales Division, Kyoto Office</w:t>
      </w:r>
    </w:p>
    <w:bookmarkStart w:id="20" w:name="i.-executive-summary"/>
    <w:p>
      <w:pPr>
        <w:pStyle w:val="Heading2"/>
      </w:pPr>
      <w:r>
        <w:t xml:space="preserve">I. Executive Summary</w:t>
      </w:r>
    </w:p>
    <w:p>
      <w:pPr>
        <w:pStyle w:val="FirstParagraph"/>
      </w:pPr>
      <w:r>
        <w:t xml:space="preserve">The Q3 2023 Sales Report for the Oceanographer product line demonstrates exceptional performance within the Japan Kyoto market, marking a 37% year-over-year growth and establishing a strategic foothold in one of Japan's most culturally significant regions. This success underscores the growing demand for advanced marine environmental monitoring solutions aligned with Kyoto's commitment to sustainable heritage preservation. The Oceanographer system—our flagship real-time oceanographic data platform—has become an indispensable tool for coastal conservation initiatives across the Kansai region, directly supporting Kyoto's "Eco-Cultural Preservation Strategy 2030."</w:t>
      </w:r>
    </w:p>
    <w:bookmarkEnd w:id="20"/>
    <w:bookmarkStart w:id="21" w:name="X0058f379d474126a7a04a7af6d37ee9a062e904"/>
    <w:p>
      <w:pPr>
        <w:pStyle w:val="Heading2"/>
      </w:pPr>
      <w:r>
        <w:t xml:space="preserve">II. Market Context: Japan Kyoto's Strategic Importance</w:t>
      </w:r>
    </w:p>
    <w:p>
      <w:pPr>
        <w:pStyle w:val="FirstParagraph"/>
      </w:pPr>
      <w:r>
        <w:t xml:space="preserve">Japan Kyoto represents a critical market expansion opportunity due to its unique position as both a cultural capital and an economic hub with significant coastal influence through the Osaka Bay ecosystem. Despite being landlocked, Kyoto maintains deep connections to marine conservation via UNESCO-protected sites like the Kii Peninsula and historical ties to Japan's maritime heritage. The Kyoto City Council's 2023 Environmental Action Plan explicitly prioritizes "collaborative ocean health initiatives" within its cultural preservation framework, creating a perfect alignment for the Oceanographer product line. This report details how we've leveraged this strategic context to achieve record sales penetration.</w:t>
      </w:r>
    </w:p>
    <w:bookmarkEnd w:id="21"/>
    <w:bookmarkStart w:id="22" w:name="Xc6d3315db79562c670b1e80c0bd64e9e315491c"/>
    <w:p>
      <w:pPr>
        <w:pStyle w:val="Heading2"/>
      </w:pPr>
      <w:r>
        <w:t xml:space="preserve">III. Product Overview: Oceanographer System</w:t>
      </w:r>
    </w:p>
    <w:p>
      <w:pPr>
        <w:pStyle w:val="FirstParagraph"/>
      </w:pPr>
      <w:r>
        <w:t xml:space="preserve">The Oceanographer is not merely a monitoring tool—it's an integrated environmental intelligence platform designed specifically for culturally sensitive marine zones. It features AI-driven coral health analytics, microplastic concentration mapping, and tidal pattern forecasting—all calibrated to Kyoto's specific ecological conditions near the Inland Sea. Key differentiators include:</w:t>
      </w:r>
    </w:p>
    <w:p>
      <w:pPr>
        <w:numPr>
          <w:ilvl w:val="0"/>
          <w:numId w:val="1001"/>
        </w:numPr>
        <w:pStyle w:val="Compact"/>
      </w:pPr>
      <w:r>
        <w:t xml:space="preserve">Japanese-language interface with Kyoto dialect support</w:t>
      </w:r>
    </w:p>
    <w:p>
      <w:pPr>
        <w:numPr>
          <w:ilvl w:val="0"/>
          <w:numId w:val="1001"/>
        </w:numPr>
        <w:pStyle w:val="Compact"/>
      </w:pPr>
      <w:r>
        <w:t xml:space="preserve">Integration with Shinto shrine preservation protocols (e.g., monitoring seawater salinity near Byōdō-in temple complex)</w:t>
      </w:r>
    </w:p>
    <w:p>
      <w:pPr>
        <w:numPr>
          <w:ilvl w:val="0"/>
          <w:numId w:val="1001"/>
        </w:numPr>
        <w:pStyle w:val="Compact"/>
      </w:pPr>
      <w:r>
        <w:t xml:space="preserve">Real-time data sharing with Kyoto University's Marine Science Institute</w:t>
      </w:r>
    </w:p>
    <w:bookmarkEnd w:id="22"/>
    <w:bookmarkStart w:id="23" w:name="Xdee0cdafc42e280d4747611a12483cb3ced5a18"/>
    <w:p>
      <w:pPr>
        <w:pStyle w:val="Heading2"/>
      </w:pPr>
      <w:r>
        <w:t xml:space="preserve">IV. Q3 2023 Sales Performance: Kyoto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Value (JPY)</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Oceanographer Pro Units Sold</w:t>
            </w:r>
          </w:p>
        </w:tc>
        <w:tc>
          <w:tcPr/>
          <w:p>
            <w:pPr>
              <w:pStyle w:val="Compact"/>
              <w:jc w:val="left"/>
            </w:pPr>
            <w:r>
              <w:t xml:space="preserve">¥18,750,000</w:t>
            </w:r>
          </w:p>
        </w:tc>
        <w:tc>
          <w:tcPr/>
          <w:p>
            <w:pPr>
              <w:pStyle w:val="Compact"/>
              <w:jc w:val="left"/>
            </w:pPr>
            <w:r>
              <w:t xml:space="preserve">+37%</w:t>
            </w:r>
          </w:p>
        </w:tc>
        <w:tc>
          <w:tcPr/>
          <w:p>
            <w:pPr>
              <w:pStyle w:val="Compact"/>
              <w:jc w:val="left"/>
            </w:pPr>
            <w:r>
              <w:t xml:space="preserve">42% (Kyoto region)</w:t>
            </w:r>
          </w:p>
        </w:tc>
      </w:tr>
      <w:tr>
        <w:tc>
          <w:tcPr/>
          <w:p>
            <w:pPr>
              <w:pStyle w:val="Compact"/>
              <w:jc w:val="left"/>
            </w:pPr>
            <w:r>
              <w:t xml:space="preserve">Enterprise Licenses (Local NGOs)</w:t>
            </w:r>
          </w:p>
        </w:tc>
        <w:tc>
          <w:tcPr/>
          <w:p>
            <w:pPr>
              <w:pStyle w:val="Compact"/>
              <w:jc w:val="left"/>
            </w:pPr>
            <w:r>
              <w:t xml:space="preserve">¥9,245,000</w:t>
            </w:r>
          </w:p>
        </w:tc>
        <w:tc>
          <w:tcPr/>
          <w:p>
            <w:pPr>
              <w:pStyle w:val="Compact"/>
              <w:jc w:val="left"/>
            </w:pPr>
            <w:r>
              <w:t xml:space="preserve">+61%</w:t>
            </w:r>
          </w:p>
        </w:tc>
        <w:tc>
          <w:tcPr/>
          <w:p>
            <w:pPr>
              <w:pStyle w:val="Compact"/>
              <w:jc w:val="left"/>
            </w:pPr>
            <w:r>
              <w:t xml:space="preserve">31% (Industry leader)</w:t>
            </w:r>
          </w:p>
        </w:tc>
      </w:tr>
      <w:tr>
        <w:tc>
          <w:tcPr/>
          <w:p>
            <w:pPr>
              <w:pStyle w:val="Compact"/>
              <w:jc w:val="left"/>
            </w:pPr>
            <w:r>
              <w:rPr>
                <w:bCs/>
                <w:b/>
              </w:rPr>
              <w:t xml:space="preserve">Total Kyoto Revenue</w:t>
            </w:r>
          </w:p>
        </w:tc>
        <w:tc>
          <w:tcPr/>
          <w:p>
            <w:pPr>
              <w:pStyle w:val="Compact"/>
              <w:jc w:val="left"/>
            </w:pPr>
            <w:r>
              <w:rPr>
                <w:bCs/>
                <w:b/>
              </w:rPr>
              <w:t xml:space="preserve">¥27,995,000</w:t>
            </w:r>
          </w:p>
        </w:tc>
        <w:tc>
          <w:tcPr/>
          <w:p>
            <w:pPr>
              <w:pStyle w:val="Compact"/>
              <w:jc w:val="left"/>
            </w:pPr>
            <w:r>
              <w:rPr>
                <w:bCs/>
                <w:b/>
              </w:rPr>
              <w:t xml:space="preserve">+48%</w:t>
            </w:r>
          </w:p>
        </w:tc>
        <w:tc>
          <w:tcPr/>
          <w:p>
            <w:pPr>
              <w:pStyle w:val="Compact"/>
              <w:jc w:val="left"/>
            </w:pPr>
            <w:r>
              <w:rPr>
                <w:bCs/>
                <w:b/>
              </w:rPr>
              <w:t xml:space="preserve">36% (Kansai region)</w:t>
            </w:r>
          </w:p>
        </w:tc>
      </w:tr>
    </w:tbl>
    <w:p>
      <w:pPr>
        <w:pStyle w:val="BodyText"/>
      </w:pPr>
      <w:r>
        <w:t xml:space="preserve">Notable achievements include:</w:t>
      </w:r>
    </w:p>
    <w:p>
      <w:pPr>
        <w:numPr>
          <w:ilvl w:val="0"/>
          <w:numId w:val="1002"/>
        </w:numPr>
        <w:pStyle w:val="Compact"/>
      </w:pPr>
      <w:r>
        <w:t xml:space="preserve">Closing a landmark contract with Kyoto's "Marine Heritage Alliance" for 12 Oceanographer units to monitor sacred coastal sites</w:t>
      </w:r>
    </w:p>
    <w:p>
      <w:pPr>
        <w:numPr>
          <w:ilvl w:val="0"/>
          <w:numId w:val="1002"/>
        </w:numPr>
        <w:pStyle w:val="Compact"/>
      </w:pPr>
      <w:r>
        <w:t xml:space="preserve">Securing the first institutional sale to a Kyoto-based UNESCO World Heritage site (Koyasan's coastal preservation office)</w:t>
      </w:r>
    </w:p>
    <w:p>
      <w:pPr>
        <w:numPr>
          <w:ilvl w:val="0"/>
          <w:numId w:val="1002"/>
        </w:numPr>
        <w:pStyle w:val="Compact"/>
      </w:pPr>
      <w:r>
        <w:t xml:space="preserve">32% increase in repeat customers within Kyoto, including the Kyoto Prefectural Government's Environmental Department</w:t>
      </w:r>
    </w:p>
    <w:bookmarkEnd w:id="23"/>
    <w:bookmarkStart w:id="24" w:name="Xb6490eafe683e617a6e51280bd8b3268862312f"/>
    <w:p>
      <w:pPr>
        <w:pStyle w:val="Heading2"/>
      </w:pPr>
      <w:r>
        <w:t xml:space="preserve">V. Customer Success Story: Kiyomizu-dera Temple Collaboration</w:t>
      </w:r>
    </w:p>
    <w:p>
      <w:pPr>
        <w:pStyle w:val="FirstParagraph"/>
      </w:pPr>
      <w:r>
        <w:t xml:space="preserve">A pivotal case study involves our partnership with Kiyomizu-dera Temple—a UNESCO site in Kyoto—where Oceanographer sensors were deployed along the adjacent river estuary. The temple's management reported:</w:t>
      </w:r>
    </w:p>
    <w:p>
      <w:pPr>
        <w:pStyle w:val="BlockText"/>
      </w:pPr>
      <w:r>
        <w:t xml:space="preserve">"The Oceanographer system provided critical data on seasonal sediment flow patterns, enabling us to implement preventive measures against erosion threatening our wooden structures. During Typhoon No. 12 in September, the system's predictive alerts allowed us to secure vulnerable heritage sites 72 hours before impact." — Reverend Kōshin Tanaka, Head of Kiyomizu-dera Environmental Division</w:t>
      </w:r>
    </w:p>
    <w:p>
      <w:pPr>
        <w:pStyle w:val="FirstParagraph"/>
      </w:pPr>
      <w:r>
        <w:t xml:space="preserve">This collaboration resulted in a 98% customer satisfaction rate and triggered referrals to five additional Kyoto cultural institutions.</w:t>
      </w:r>
    </w:p>
    <w:bookmarkEnd w:id="24"/>
    <w:bookmarkStart w:id="25" w:name="Xba8bc86a31cb4ab94d082c3e78112dc3b88b381"/>
    <w:p>
      <w:pPr>
        <w:pStyle w:val="Heading2"/>
      </w:pPr>
      <w:r>
        <w:t xml:space="preserve">VI. Strategic Market Analysis: Why Oceanographer Succeeded in Japan Kyoto</w:t>
      </w:r>
    </w:p>
    <w:p>
      <w:pPr>
        <w:pStyle w:val="FirstParagraph"/>
      </w:pPr>
      <w:r>
        <w:t xml:space="preserve">The success of the Oceanographer product line in Kyoto stems from three strategic alignments:</w:t>
      </w:r>
    </w:p>
    <w:p>
      <w:pPr>
        <w:numPr>
          <w:ilvl w:val="0"/>
          <w:numId w:val="1003"/>
        </w:numPr>
        <w:pStyle w:val="Compact"/>
      </w:pPr>
      <w:r>
        <w:rPr>
          <w:bCs/>
          <w:b/>
        </w:rPr>
        <w:t xml:space="preserve">Cultural Resonance:</w:t>
      </w:r>
      <w:r>
        <w:t xml:space="preserve"> </w:t>
      </w:r>
      <w:r>
        <w:t xml:space="preserve">Positioning the technology as "preserving Japan's maritime legacy" rather than just a commercial tool, directly echoing Kyoto's 2023 cultural preservation theme.</w:t>
      </w:r>
    </w:p>
    <w:p>
      <w:pPr>
        <w:numPr>
          <w:ilvl w:val="0"/>
          <w:numId w:val="1003"/>
        </w:numPr>
        <w:pStyle w:val="Compact"/>
      </w:pPr>
      <w:r>
        <w:rPr>
          <w:bCs/>
          <w:b/>
        </w:rPr>
        <w:t xml:space="preserve">Regulatory Synergy:</w:t>
      </w:r>
      <w:r>
        <w:t xml:space="preserve"> </w:t>
      </w:r>
      <w:r>
        <w:t xml:space="preserve">Aligning with Kyoto's new Marine Data Transparency Act (effective Q1 2023), which mandates real-time monitoring for heritage sites within 5km of coastlines.</w:t>
      </w:r>
    </w:p>
    <w:p>
      <w:pPr>
        <w:numPr>
          <w:ilvl w:val="0"/>
          <w:numId w:val="1003"/>
        </w:numPr>
        <w:pStyle w:val="Compact"/>
      </w:pPr>
      <w:r>
        <w:rPr>
          <w:bCs/>
          <w:b/>
        </w:rPr>
        <w:t xml:space="preserve">Local Partnership:</w:t>
      </w:r>
      <w:r>
        <w:t xml:space="preserve"> </w:t>
      </w:r>
      <w:r>
        <w:t xml:space="preserve">Co-developing the product with Kyoto University's Institute for Environmental Studies, resulting in culturally adapted features like tsunami warning integration with local emergency protocols.</w:t>
      </w:r>
    </w:p>
    <w:bookmarkEnd w:id="25"/>
    <w:bookmarkStart w:id="26" w:name="vii.-challenges-and-adaptive-solutions"/>
    <w:p>
      <w:pPr>
        <w:pStyle w:val="Heading2"/>
      </w:pPr>
      <w:r>
        <w:t xml:space="preserve">VII. Challenges and Adaptive Solutions</w:t>
      </w:r>
    </w:p>
    <w:p>
      <w:pPr>
        <w:pStyle w:val="FirstParagraph"/>
      </w:pPr>
      <w:r>
        <w:t xml:space="preserve">Initial market entry faced skepticism about "foreign technology" for sensitive heritage sites. Our Kyoto sales team addressed this by:</w:t>
      </w:r>
    </w:p>
    <w:p>
      <w:pPr>
        <w:numPr>
          <w:ilvl w:val="0"/>
          <w:numId w:val="1004"/>
        </w:numPr>
        <w:pStyle w:val="Compact"/>
      </w:pPr>
      <w:r>
        <w:t xml:space="preserve">Hosting biweekly workshops at the Kyoto Museum of Modern Art featuring local marine scientists</w:t>
      </w:r>
    </w:p>
    <w:p>
      <w:pPr>
        <w:numPr>
          <w:ilvl w:val="0"/>
          <w:numId w:val="1004"/>
        </w:numPr>
        <w:pStyle w:val="Compact"/>
      </w:pPr>
      <w:r>
        <w:t xml:space="preserve">Partnering with Shinto priests to co-create a culturally appropriate data privacy framework</w:t>
      </w:r>
    </w:p>
    <w:p>
      <w:pPr>
        <w:numPr>
          <w:ilvl w:val="0"/>
          <w:numId w:val="1004"/>
        </w:numPr>
        <w:pStyle w:val="Compact"/>
      </w:pPr>
      <w:r>
        <w:t xml:space="preserve">Offering free pilot programs for Kyoto's 47 cultural heritage organizations (resulting in 17 conversion sales)</w:t>
      </w:r>
    </w:p>
    <w:bookmarkEnd w:id="26"/>
    <w:bookmarkStart w:id="27" w:name="Xc3cd9e1e30a9dd7fa49c02698a64c339a356c06"/>
    <w:p>
      <w:pPr>
        <w:pStyle w:val="Heading2"/>
      </w:pPr>
      <w:r>
        <w:t xml:space="preserve">VIII. Future Outlook: Japan Kyoto Expansion Strategy (Q4 2023 - Q1 2024)</w:t>
      </w:r>
    </w:p>
    <w:p>
      <w:pPr>
        <w:pStyle w:val="FirstParagraph"/>
      </w:pPr>
      <w:r>
        <w:t xml:space="preserve">Building on our success, we will:</w:t>
      </w:r>
    </w:p>
    <w:p>
      <w:pPr>
        <w:numPr>
          <w:ilvl w:val="0"/>
          <w:numId w:val="1005"/>
        </w:numPr>
        <w:pStyle w:val="Compact"/>
      </w:pPr>
      <w:r>
        <w:t xml:space="preserve">Launch "Oceanographer Heritage Edition" with Kyoto-specific cultural data visualization (e.g., displaying ocean health metrics during Gion Matsuri festival planning)</w:t>
      </w:r>
    </w:p>
    <w:p>
      <w:pPr>
        <w:numPr>
          <w:ilvl w:val="0"/>
          <w:numId w:val="1005"/>
        </w:numPr>
        <w:pStyle w:val="Compact"/>
      </w:pPr>
      <w:r>
        <w:t xml:space="preserve">Pursue partnerships with Kyoto's 370+ tourism associations to integrate Oceanographer data into eco-tourism packages</w:t>
      </w:r>
    </w:p>
    <w:p>
      <w:pPr>
        <w:numPr>
          <w:ilvl w:val="0"/>
          <w:numId w:val="1005"/>
        </w:numPr>
        <w:pStyle w:val="Compact"/>
      </w:pPr>
      <w:r>
        <w:t xml:space="preserve">Expand sales team to include two native Kyoto speakers specializing in cultural institution sales</w:t>
      </w:r>
    </w:p>
    <w:bookmarkEnd w:id="27"/>
    <w:bookmarkStart w:id="28" w:name="X93e1d4b8533878188e6413607c69eed3a3dfe0b"/>
    <w:p>
      <w:pPr>
        <w:pStyle w:val="Heading2"/>
      </w:pPr>
      <w:r>
        <w:t xml:space="preserve">IX. Conclusion: The Oceanographer Imperative for Japan Kyoto</w:t>
      </w:r>
    </w:p>
    <w:p>
      <w:pPr>
        <w:pStyle w:val="FirstParagraph"/>
      </w:pPr>
      <w:r>
        <w:t xml:space="preserve">This Sales Report confirms that the Oceanographer product line has transcended typical technology sales—it has become a catalyst for sustainable cultural preservation in Japan Kyoto. With our market share now exceeding 35% of the region's marine monitoring segment, we are positioned to lead Japan's transition toward "heritage-integrated environmental technology." The data is clear: when marine innovation aligns with cultural identity, as demonstrated by our Oceanographer deployment across Kyoto's heritage landscape, exceptional sales growth follows. We recommend doubling down on Kyoto-specific product customization in 2024, where the Oceanographer isn't just a tool—it's a partner in preserving Japan's living legacy.</w:t>
      </w:r>
    </w:p>
    <w:p>
      <w:pPr>
        <w:pStyle w:val="BodyText"/>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Product Line - Japan Kyoto Market</dc:title>
  <dc:creator/>
  <dc:language>en</dc:language>
  <cp:keywords/>
  <dcterms:created xsi:type="dcterms:W3CDTF">2026-07-23T13:23:59Z</dcterms:created>
  <dcterms:modified xsi:type="dcterms:W3CDTF">2026-07-23T13:23:59Z</dcterms:modified>
</cp:coreProperties>
</file>

<file path=docProps/custom.xml><?xml version="1.0" encoding="utf-8"?>
<Properties xmlns="http://schemas.openxmlformats.org/officeDocument/2006/custom-properties" xmlns:vt="http://schemas.openxmlformats.org/officeDocument/2006/docPropsVTypes"/>
</file>