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in</w:t>
      </w:r>
      <w:r>
        <w:t xml:space="preserve"> </w:t>
      </w:r>
      <w:r>
        <w:t xml:space="preserve">Peru</w:t>
      </w:r>
      <w:r>
        <w:t xml:space="preserve"> </w:t>
      </w:r>
      <w:r>
        <w:t xml:space="preserve">Lima</w:t>
      </w:r>
    </w:p>
    <w:bookmarkStart w:id="27" w:name="X12f71b5e3877edde33bf7f6da517b11f696175e"/>
    <w:p>
      <w:pPr>
        <w:pStyle w:val="Heading1"/>
      </w:pPr>
      <w:r>
        <w:t xml:space="preserve">Comprehensive Sales Report: Oceanographic Services Market Performance in Lima, Peru</w:t>
      </w:r>
    </w:p>
    <w:bookmarkStart w:id="20" w:name="executive-summary"/>
    <w:p>
      <w:pPr>
        <w:pStyle w:val="Heading2"/>
      </w:pPr>
      <w:r>
        <w:t xml:space="preserve">Executive Summary</w:t>
      </w:r>
    </w:p>
    <w:p>
      <w:pPr>
        <w:pStyle w:val="FirstParagraph"/>
      </w:pPr>
      <w:r>
        <w:t xml:space="preserve">This report details the sales performance of oceanographic services across the Lima metropolitan area for Q1-Q3 2023. As a leading provider of marine research and coastal management solutions, our company has established significant market presence through strategic partnerships with Peruvian governmental agencies, academic institutions, and private sector clients in Peru Lima. The report confirms a 37% year-over-year sales growth in oceanographic consultancy services within the Lima region, driven by increasing environmental regulations and coastal development initiatives. This performance underscores the critical role of professional</w:t>
      </w:r>
      <w:r>
        <w:t xml:space="preserve"> </w:t>
      </w:r>
      <w:r>
        <w:rPr>
          <w:iCs/>
          <w:i/>
        </w:rPr>
        <w:t xml:space="preserve">Oceanographer</w:t>
      </w:r>
      <w:r>
        <w:t xml:space="preserve"> </w:t>
      </w:r>
      <w:r>
        <w:t xml:space="preserve">expertise in shaping sustainable maritime policies across Peru's Pacific coastline.</w:t>
      </w:r>
    </w:p>
    <w:bookmarkEnd w:id="20"/>
    <w:bookmarkStart w:id="21" w:name="X911f17012001bf5617592e30193c538fe973d1d"/>
    <w:p>
      <w:pPr>
        <w:pStyle w:val="Heading2"/>
      </w:pPr>
      <w:r>
        <w:t xml:space="preserve">Market Context: Oceanography Sector in Peru Lima</w:t>
      </w:r>
    </w:p>
    <w:p>
      <w:pPr>
        <w:pStyle w:val="FirstParagraph"/>
      </w:pPr>
      <w:r>
        <w:t xml:space="preserve">Lima, as Peru's economic capital and primary port city, serves as the nerve center for oceanographic activity in the nation. The Peruvian government has prioritized marine conservation through initiatives like the National Strategy for Marine Biodiversity (2021-2030), creating urgent demand for specialized oceanographic services. With 2,486 kilometers of Pacific coastline and significant fisheries infrastructure concentrated in Lima's Callao region, local businesses require precise oceanographic data to comply with new regulations under Peru's Ministry of Production (MINCETUR). Our Sales Report confirms that 78% of all marine-related contracts in Peru are now routed through Lima-based decision centers, making it the undisputed hub for oceanography service procurement.</w:t>
      </w:r>
    </w:p>
    <w:bookmarkEnd w:id="21"/>
    <w:bookmarkStart w:id="22" w:name="X37a07a9630a6c60d4b3e635310e7dc712e99b17"/>
    <w:p>
      <w:pPr>
        <w:pStyle w:val="Heading2"/>
      </w:pPr>
      <w:r>
        <w:t xml:space="preserve">Key Sales Performance Metrics (Peru Lima Focus)</w:t>
      </w:r>
    </w:p>
    <w:p>
      <w:pPr>
        <w:pStyle w:val="FirstParagraph"/>
      </w:pPr>
      <w:r>
        <w:t xml:space="preserve">Service Category</w:t>
      </w:r>
    </w:p>
    <w:p>
      <w:pPr>
        <w:pStyle w:val="BodyText"/>
      </w:pPr>
      <w:r>
        <w:t xml:space="preserve">Q1 2023 Revenue (USD)</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$92,000</w:t>
      </w:r>
    </w:p>
    <w:p>
      <w:pPr>
        <w:pStyle w:val="BodyText"/>
      </w:pPr>
      <w:r>
        <w:t xml:space="preserve">&lt;</w:t>
      </w:r>
    </w:p>
    <w:p>
      <w:pPr>
        <w:pStyle w:val="BodyText"/>
      </w:pPr>
      <w:r>
        <w:t xml:space="preserve">$168,350</w:t>
      </w:r>
    </w:p>
    <w:p>
      <w:pPr>
        <w:pStyle w:val="BodyText"/>
      </w:pPr>
      <w:r>
        <w:t xml:space="preserve">83.1%</w:t>
      </w:r>
    </w:p>
    <w:p>
      <w:pPr>
        <w:pStyle w:val="BodyText"/>
      </w:pPr>
      <w:r>
        <w:t xml:space="preserve">Sustainable Fisheries Consultancy</w:t>
      </w:r>
    </w:p>
    <w:p>
      <w:pPr>
        <w:pStyle w:val="BodyText"/>
      </w:pPr>
      <w:r>
        <w:t xml:space="preserve">$75,400</w:t>
      </w:r>
    </w:p>
    <w:p>
      <w:pPr>
        <w:pStyle w:val="BodyText"/>
      </w:pPr>
      <w:r>
        <w:t xml:space="preserve">Q2 2023 Revenue (USD)</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Q3 2023 Revenue (USD)</w:t>
      </w:r>
    </w:p>
    <w:p>
      <w:pPr>
        <w:pStyle w:val="BodyText"/>
      </w:pPr>
      <w:r>
        <w:t xml:space="preserve">YoY Growth</w:t>
      </w:r>
    </w:p>
    <w:p>
      <w:pPr>
        <w:pStyle w:val="BodyText"/>
      </w:pPr>
      <w:r>
        <w:t xml:space="preserve">Oceanographic Data Analysis</w:t>
      </w:r>
    </w:p>
    <w:p>
      <w:pPr>
        <w:pStyle w:val="BodyText"/>
      </w:pPr>
      <w:r>
        <w:t xml:space="preserve">$185,000</w:t>
      </w:r>
    </w:p>
    <w:p>
      <w:pPr>
        <w:pStyle w:val="BodyText"/>
      </w:pPr>
      <w:r>
        <w:t xml:space="preserve">$327,500</w:t>
      </w:r>
    </w:p>
    <w:p>
      <w:pPr>
        <w:pStyle w:val="BodyText"/>
      </w:pPr>
      <w:r>
        <w:t xml:space="preserve">76.4%</w:t>
      </w:r>
    </w:p>
    <w:p>
      <w:pPr>
        <w:pStyle w:val="BodyText"/>
      </w:pPr>
      <w:r>
        <w:t xml:space="preserve">Coastal Erosion Studies</w:t>
      </w:r>
    </w:p>
    <w:p>
      <w:pPr>
        <w:pStyle w:val="BodyText"/>
      </w:pPr>
      <w:r>
        <w:t xml:space="preserve">Our most significant achievement has been securing the $1.2M contract with Peru's National Institute of Fisheries (INPE) for coastal monitoring systems along the Lima-Callao corridor. This project required on-site deployment of our senior</w:t>
      </w:r>
      <w:r>
        <w:t xml:space="preserve"> </w:t>
      </w:r>
      <w:r>
        <w:rPr>
          <w:iCs/>
          <w:i/>
        </w:rPr>
        <w:t xml:space="preserve">Oceanographer</w:t>
      </w:r>
      <w:r>
        <w:t xml:space="preserve">, Dr. Maria Sánchez, who led field teams in collecting sediment data across 14 vulnerable shoreline sites. The success has positioned us as the preferred provider for Peru's marine spatial planning initiatives.</w:t>
      </w:r>
    </w:p>
    <w:bookmarkEnd w:id="22"/>
    <w:bookmarkStart w:id="23" w:name="client-acquisition-market-penetration"/>
    <w:p>
      <w:pPr>
        <w:pStyle w:val="Heading2"/>
      </w:pPr>
      <w:r>
        <w:t xml:space="preserve">Client Acquisition &amp; Market Penetration</w:t>
      </w:r>
    </w:p>
    <w:p>
      <w:pPr>
        <w:pStyle w:val="FirstParagraph"/>
      </w:pPr>
      <w:r>
        <w:t xml:space="preserve">Peru Lima represented 89% of our total sales growth in South America during this reporting period. Key client acquisitions include:</w:t>
      </w:r>
    </w:p>
    <w:p>
      <w:pPr>
        <w:numPr>
          <w:ilvl w:val="0"/>
          <w:numId w:val="1001"/>
        </w:numPr>
        <w:pStyle w:val="Compact"/>
      </w:pPr>
      <w:r>
        <w:rPr>
          <w:bCs/>
          <w:b/>
        </w:rPr>
        <w:t xml:space="preserve">National University of San Marcos (UNMSM)</w:t>
      </w:r>
      <w:r>
        <w:t xml:space="preserve">: $145,000 contract for marine biology research support, including oceanographic data processing tools</w:t>
      </w:r>
    </w:p>
    <w:p>
      <w:pPr>
        <w:numPr>
          <w:ilvl w:val="0"/>
          <w:numId w:val="1001"/>
        </w:numPr>
        <w:pStyle w:val="Compact"/>
      </w:pPr>
      <w:r>
        <w:rPr>
          <w:bCs/>
          <w:b/>
        </w:rPr>
        <w:t xml:space="preserve">Callao Port Authority</w:t>
      </w:r>
      <w:r>
        <w:t xml:space="preserve">: $287,000 agreement for real-time coastal monitoring system installation</w:t>
      </w:r>
    </w:p>
    <w:p>
      <w:pPr>
        <w:numPr>
          <w:ilvl w:val="0"/>
          <w:numId w:val="1001"/>
        </w:numPr>
        <w:pStyle w:val="Compact"/>
      </w:pPr>
      <w:r>
        <w:rPr>
          <w:bCs/>
          <w:b/>
        </w:rPr>
        <w:t xml:space="preserve">Peruvian Fishing Association (APROPEC)</w:t>
      </w:r>
      <w:r>
        <w:t xml:space="preserve">: $95,000 sustainability compliance package for 32 member companies</w:t>
      </w:r>
    </w:p>
    <w:p>
      <w:pPr>
        <w:pStyle w:val="FirstParagraph"/>
      </w:pPr>
      <w:r>
        <w:t xml:space="preserve">These contracts were secured through targeted engagement with Peru Lima's marine industry network. Our local team—led by the certified</w:t>
      </w:r>
      <w:r>
        <w:t xml:space="preserve"> </w:t>
      </w:r>
      <w:r>
        <w:rPr>
          <w:iCs/>
          <w:i/>
        </w:rPr>
        <w:t xml:space="preserve">Oceanographer</w:t>
      </w:r>
      <w:r>
        <w:t xml:space="preserve"> </w:t>
      </w:r>
      <w:r>
        <w:t xml:space="preserve">manager Luis Mendoza—conducted 12 industry workshops across Lima in Q2, directly connecting with 87 potential clients. This localized approach increased our lead conversion rate by 64% compared to previous years.</w:t>
      </w:r>
    </w:p>
    <w:bookmarkEnd w:id="23"/>
    <w:bookmarkStart w:id="24" w:name="challenges-strategic-solutions"/>
    <w:p>
      <w:pPr>
        <w:pStyle w:val="Heading2"/>
      </w:pPr>
      <w:r>
        <w:t xml:space="preserve">Challenges &amp; Strategic Solutions</w:t>
      </w:r>
    </w:p>
    <w:p>
      <w:pPr>
        <w:pStyle w:val="FirstParagraph"/>
      </w:pPr>
      <w:r>
        <w:t xml:space="preserve">Initial challenges included regulatory complexity and cultural adaptation needs. Peru's environmental licensing process (SINPE system) required specialized navigation, which our Lima-based team overcame by hiring local regulatory specialists with ministry experience. We also addressed the need for bilingual technical support (Spanish/English) by training all field personnel in Peruvian maritime terminology—a move that reduced project delays by 40%.</w:t>
      </w:r>
    </w:p>
    <w:p>
      <w:pPr>
        <w:pStyle w:val="BodyText"/>
      </w:pPr>
      <w:r>
        <w:t xml:space="preserve">Additionally, we encountered resistance from traditional fishing communities regarding coastal monitoring. Our Lima office resolved this through community engagement programs led by our resident</w:t>
      </w:r>
      <w:r>
        <w:t xml:space="preserve"> </w:t>
      </w:r>
      <w:r>
        <w:rPr>
          <w:iCs/>
          <w:i/>
        </w:rPr>
        <w:t xml:space="preserve">Oceanographer</w:t>
      </w:r>
      <w:r>
        <w:t xml:space="preserve">, Dr. Ana Rojas, who developed localized training sessions showing how oceanographic data benefits small-scale fisheries. This initiative increased client retention rate to 92% in the Peru Lima market.</w:t>
      </w:r>
    </w:p>
    <w:bookmarkEnd w:id="24"/>
    <w:bookmarkStart w:id="25" w:name="future-outlook-growth-opportunities"/>
    <w:p>
      <w:pPr>
        <w:pStyle w:val="Heading2"/>
      </w:pPr>
      <w:r>
        <w:t xml:space="preserve">Future Outlook &amp; Growth Opportunities</w:t>
      </w:r>
    </w:p>
    <w:p>
      <w:pPr>
        <w:pStyle w:val="FirstParagraph"/>
      </w:pPr>
      <w:r>
        <w:t xml:space="preserve">The next 18 months present exceptional growth potential for oceanographic services in Peru Lima. Key drivers include:</w:t>
      </w:r>
    </w:p>
    <w:p>
      <w:pPr>
        <w:numPr>
          <w:ilvl w:val="0"/>
          <w:numId w:val="1002"/>
        </w:numPr>
        <w:pStyle w:val="Compact"/>
      </w:pPr>
      <w:r>
        <w:rPr>
          <w:bCs/>
          <w:b/>
        </w:rPr>
        <w:t xml:space="preserve">Marine Protected Areas Expansion</w:t>
      </w:r>
      <w:r>
        <w:t xml:space="preserve">: Government plans to increase protected zones along Lima's coast by 200% by 2025, requiring comprehensive baseline studies</w:t>
      </w:r>
    </w:p>
    <w:p>
      <w:pPr>
        <w:numPr>
          <w:ilvl w:val="0"/>
          <w:numId w:val="1002"/>
        </w:numPr>
        <w:pStyle w:val="Compact"/>
      </w:pPr>
      <w:r>
        <w:rPr>
          <w:bCs/>
          <w:b/>
        </w:rPr>
        <w:t xml:space="preserve">Port Modernization Projects</w:t>
      </w:r>
      <w:r>
        <w:t xml:space="preserve">: Callao Port's $3.4B expansion will demand continuous oceanographic monitoring during construction phases</w:t>
      </w:r>
    </w:p>
    <w:p>
      <w:pPr>
        <w:numPr>
          <w:ilvl w:val="0"/>
          <w:numId w:val="1002"/>
        </w:numPr>
        <w:pStyle w:val="Compact"/>
      </w:pPr>
      <w:r>
        <w:rPr>
          <w:bCs/>
          <w:b/>
        </w:rPr>
        <w:t xml:space="preserve">COP28 Follow-up Initiatives</w:t>
      </w:r>
      <w:r>
        <w:t xml:space="preserve">: Peru's climate commitments require new marine carbon assessment protocols, creating immediate service demand</w:t>
      </w:r>
    </w:p>
    <w:p>
      <w:pPr>
        <w:pStyle w:val="FirstParagraph"/>
      </w:pPr>
      <w:r>
        <w:t xml:space="preserve">Our Sales Report projects 52% revenue growth in Peru Lima by Q4 2024, with particular focus on developing AI-powered ocean forecasting tools tailored to local currents. We plan to establish a permanent Lima office with dedicated marine research facilities—currently under construction at the Parque Industrial de San Martín de Porres—to accelerate service delivery.</w:t>
      </w:r>
    </w:p>
    <w:bookmarkEnd w:id="25"/>
    <w:bookmarkStart w:id="26" w:name="conclusion"/>
    <w:p>
      <w:pPr>
        <w:pStyle w:val="Heading2"/>
      </w:pPr>
      <w:r>
        <w:t xml:space="preserve">Conclusion</w:t>
      </w:r>
    </w:p>
    <w:p>
      <w:pPr>
        <w:pStyle w:val="FirstParagraph"/>
      </w:pPr>
      <w:r>
        <w:t xml:space="preserve">This Sales Report demonstrates unequivocally that oceanographic expertise has become indispensable for business success in Peru Lima. Our strategic focus on local market intelligence, regulatory navigation, and community engagement has positioned us as the region's leading provider of oceanographic services. The consistent growth trajectory—exceeding 35% annual revenue increase since 2021—validates our investment in Peru Lima as a critical operational hub. As Peru advances its blue economy strategy, the role of the professional</w:t>
      </w:r>
      <w:r>
        <w:t xml:space="preserve"> </w:t>
      </w:r>
      <w:r>
        <w:rPr>
          <w:iCs/>
          <w:i/>
        </w:rPr>
        <w:t xml:space="preserve">Oceanographer</w:t>
      </w:r>
      <w:r>
        <w:t xml:space="preserve"> </w:t>
      </w:r>
      <w:r>
        <w:t xml:space="preserve">evolves from consultant to strategic partner in national development. We recommend doubling down on Lima-based talent acquisition and technology investment to maintain this momentum, particularly as coastal climate challenges intensify along the Peruvian Pacific coast.</w:t>
      </w:r>
    </w:p>
    <w:p>
      <w:pPr>
        <w:pStyle w:val="BodyText"/>
      </w:pPr>
      <w:r>
        <w:rPr>
          <w:bCs/>
          <w:b/>
        </w:rPr>
        <w:t xml:space="preserve">Prepared for: Senior Management Team, Oceanographic Services Division</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Oceanographic Services in Peru Lima</dc:title>
  <dc:creator/>
  <dc:language>en</dc:language>
  <cp:keywords/>
  <dcterms:created xsi:type="dcterms:W3CDTF">2026-07-20T01:27:17Z</dcterms:created>
  <dcterms:modified xsi:type="dcterms:W3CDTF">2026-07-20T01:27:17Z</dcterms:modified>
</cp:coreProperties>
</file>

<file path=docProps/custom.xml><?xml version="1.0" encoding="utf-8"?>
<Properties xmlns="http://schemas.openxmlformats.org/officeDocument/2006/custom-properties" xmlns:vt="http://schemas.openxmlformats.org/officeDocument/2006/docPropsVTypes"/>
</file>