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Oceanography</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0e4f8c83714812614582d77f27029c087304f75"/>
    <w:p>
      <w:pPr>
        <w:pStyle w:val="Heading1"/>
      </w:pPr>
      <w:r>
        <w:t xml:space="preserve">Comprehensive Sales Report: Oceanographic Solutions Market in Spain Madrid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oceanographic product and service sales across Spain Madrid during Q3 2023. The market for marine science solutions has demonstrated remarkable growth, with our company achieving a 17.8% YoY increase in revenue within the Spain Madrid region. This success is directly attributable to strategic partnerships with leading research institutions and the exceptional expertise of our local Oceanographer team. As Europe's premier hub for marine environmental innovation, Madrid has emerged as a critical growth engine for oceanographic business expansion.</w:t>
      </w:r>
    </w:p>
    <w:bookmarkEnd w:id="20"/>
    <w:bookmarkStart w:id="21" w:name="ii.-regional-market-context-spain-madrid"/>
    <w:p>
      <w:pPr>
        <w:pStyle w:val="Heading2"/>
      </w:pPr>
      <w:r>
        <w:t xml:space="preserve">II. Regional Market Context: Spain Madrid</w:t>
      </w:r>
    </w:p>
    <w:p>
      <w:pPr>
        <w:pStyle w:val="FirstParagraph"/>
      </w:pPr>
      <w:r>
        <w:t xml:space="preserve">Spain Madrid serves as the central nexus for oceanographic research and commercialization in Iberia. The city hosts key institutions including the Spanish Oceanographic Institute (IEO), CSIC Marine Science Centers, and several EU-funded marine initiatives like Horizon Europe projects. Our Sales Report reveals that Madrid-based organizations accounted for 63% of all oceanographic equipment procurement across Spain in Q3 2023 – a testament to the region's leadership role. The Spanish government's 'Marine Strategy Framework Directive' implementation has accelerated demand for advanced ocean monitoring systems, creating unprecedented opportunities for sales teams specializing in marine technology solutions.</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sales reached €1.87M (€1.59M Q3 2022), exceeding target by 14.3%. This growth is directly linked to our specialized approach for the Oceanographer community.</w:t>
      </w:r>
    </w:p>
    <w:p>
      <w:pPr>
        <w:pStyle w:val="BodyText"/>
      </w:pPr>
      <w:r>
        <w:rPr>
          <w:bCs/>
          <w:b/>
        </w:rPr>
        <w:t xml:space="preserve">Product Category Breakdown:</w:t>
      </w:r>
    </w:p>
    <w:p>
      <w:pPr>
        <w:numPr>
          <w:ilvl w:val="0"/>
          <w:numId w:val="1001"/>
        </w:numPr>
        <w:pStyle w:val="Compact"/>
      </w:pPr>
      <w:r>
        <w:rPr>
          <w:iCs/>
          <w:i/>
        </w:rPr>
        <w:t xml:space="preserve">Underwater Sensor Networks:</w:t>
      </w:r>
      <w:r>
        <w:t xml:space="preserve"> </w:t>
      </w:r>
      <w:r>
        <w:t xml:space="preserve">+29% YoY (€785K) – driven by Madrid's coastal monitoring projects</w:t>
      </w:r>
    </w:p>
    <w:p>
      <w:pPr>
        <w:numPr>
          <w:ilvl w:val="0"/>
          <w:numId w:val="1001"/>
        </w:numPr>
        <w:pStyle w:val="Compact"/>
      </w:pPr>
      <w:r>
        <w:rPr>
          <w:iCs/>
          <w:i/>
        </w:rPr>
        <w:t xml:space="preserve">Multibeam Sonar Systems:</w:t>
      </w:r>
      <w:r>
        <w:t xml:space="preserve"> </w:t>
      </w:r>
      <w:r>
        <w:t xml:space="preserve">+18% YoY (€420K) – supported by IEO's new research vessel deployment</w:t>
      </w:r>
    </w:p>
    <w:p>
      <w:pPr>
        <w:numPr>
          <w:ilvl w:val="0"/>
          <w:numId w:val="1001"/>
        </w:numPr>
        <w:pStyle w:val="Compact"/>
      </w:pPr>
      <w:r>
        <w:rPr>
          <w:iCs/>
          <w:i/>
        </w:rPr>
        <w:t xml:space="preserve">Marine Data Analytics Software:</w:t>
      </w:r>
      <w:r>
        <w:t xml:space="preserve"> </w:t>
      </w:r>
      <w:r>
        <w:t xml:space="preserve">+37% YoY (€365K) – adopted by 12 new Madrid-based research consortia</w:t>
      </w:r>
    </w:p>
    <w:p>
      <w:pPr>
        <w:numPr>
          <w:ilvl w:val="0"/>
          <w:numId w:val="1001"/>
        </w:numPr>
        <w:pStyle w:val="Compact"/>
      </w:pPr>
      <w:r>
        <w:rPr>
          <w:iCs/>
          <w:i/>
        </w:rPr>
        <w:t xml:space="preserve">Oceanographic Service Contracts:</w:t>
      </w:r>
      <w:r>
        <w:t xml:space="preserve"> </w:t>
      </w:r>
      <w:r>
        <w:t xml:space="preserve">+12% YoY (€295K) – including 8 new agreements with Madrid universities</w:t>
      </w:r>
    </w:p>
    <w:p>
      <w:pPr>
        <w:pStyle w:val="FirstParagraph"/>
      </w:pPr>
      <w:r>
        <w:t xml:space="preserve">Notably, the sales pipeline for Oceanographer-specific solutions increased by 41% quarter-over-quarter. This reflects our tailored approach to addressing the unique requirements of marine scientists in Spain Madrid.</w:t>
      </w:r>
    </w:p>
    <w:bookmarkEnd w:id="22"/>
    <w:bookmarkStart w:id="23" w:name="Xd9b4cbb363d46eec9efdd1196d6edf0c544dfe3"/>
    <w:p>
      <w:pPr>
        <w:pStyle w:val="Heading2"/>
      </w:pPr>
      <w:r>
        <w:t xml:space="preserve">IV. The Critical Role of the Oceanographer</w:t>
      </w:r>
    </w:p>
    <w:p>
      <w:pPr>
        <w:pStyle w:val="FirstParagraph"/>
      </w:pPr>
      <w:r>
        <w:t xml:space="preserve">A key differentiator in our Spain Madrid success has been the integration of certified Oceanographers into sales leadership. Our regional team includes three senior Oceanographers with PhDs and 15+ years' field experience – a strategic decision that directly impacts client trust. During Q3, these specialists:</w:t>
      </w:r>
    </w:p>
    <w:p>
      <w:pPr>
        <w:numPr>
          <w:ilvl w:val="0"/>
          <w:numId w:val="1002"/>
        </w:numPr>
        <w:pStyle w:val="Compact"/>
      </w:pPr>
      <w:r>
        <w:t xml:space="preserve">Conducted 47 technical consultations with Madrid-based research teams</w:t>
      </w:r>
    </w:p>
    <w:p>
      <w:pPr>
        <w:numPr>
          <w:ilvl w:val="0"/>
          <w:numId w:val="1002"/>
        </w:numPr>
        <w:pStyle w:val="Compact"/>
      </w:pPr>
      <w:r>
        <w:t xml:space="preserve">Co-developed custom solutions for the Mediterranean Marine Research Network</w:t>
      </w:r>
    </w:p>
    <w:p>
      <w:pPr>
        <w:numPr>
          <w:ilvl w:val="0"/>
          <w:numId w:val="1002"/>
        </w:numPr>
        <w:pStyle w:val="Compact"/>
      </w:pPr>
      <w:r>
        <w:t xml:space="preserve">Provided critical product validation during IEO's technology evaluation cycles</w:t>
      </w:r>
    </w:p>
    <w:p>
      <w:pPr>
        <w:pStyle w:val="FirstParagraph"/>
      </w:pPr>
      <w:r>
        <w:t xml:space="preserve">The Sales Report confirms that deals involving Oceanographer-led presentations converted 3.2x faster than standard sales cycles. Clients explicitly cited "scientific credibility" as the primary factor in purchasing decisions – a direct result of our specialized Oceanographer resources in Spain Madrid.</w:t>
      </w:r>
    </w:p>
    <w:bookmarkEnd w:id="23"/>
    <w:bookmarkStart w:id="24" w:name="X92d5191f2524a957e0115431374c88f76467538"/>
    <w:p>
      <w:pPr>
        <w:pStyle w:val="Heading2"/>
      </w:pPr>
      <w:r>
        <w:t xml:space="preserve">V. Competitive Analysis: Spain Madrid Market Position</w:t>
      </w:r>
    </w:p>
    <w:p>
      <w:pPr>
        <w:pStyle w:val="FirstParagraph"/>
      </w:pPr>
      <w:r>
        <w:t xml:space="preserve">Madrid's competitive landscape features strong players like Teledyne Marine and Kongsberg, but our Sales Report shows significant market share gains due to:</w:t>
      </w:r>
    </w:p>
    <w:p>
      <w:pPr>
        <w:numPr>
          <w:ilvl w:val="0"/>
          <w:numId w:val="1003"/>
        </w:numPr>
        <w:pStyle w:val="Compact"/>
      </w:pPr>
      <w:r>
        <w:rPr>
          <w:iCs/>
          <w:i/>
        </w:rPr>
        <w:t xml:space="preserve">Local Expertise:</w:t>
      </w:r>
      <w:r>
        <w:t xml:space="preserve"> </w:t>
      </w:r>
      <w:r>
        <w:t xml:space="preserve">Our Madrid-based Oceanographers understand regional challenges (e.g., Mediterranean biodiversity monitoring, coastal erosion patterns)</w:t>
      </w:r>
    </w:p>
    <w:p>
      <w:pPr>
        <w:numPr>
          <w:ilvl w:val="0"/>
          <w:numId w:val="1003"/>
        </w:numPr>
        <w:pStyle w:val="Compact"/>
      </w:pPr>
      <w:r>
        <w:rPr>
          <w:iCs/>
          <w:i/>
        </w:rPr>
        <w:t xml:space="preserve">Regulatory Alignment:</w:t>
      </w:r>
      <w:r>
        <w:t xml:space="preserve"> </w:t>
      </w:r>
      <w:r>
        <w:t xml:space="preserve">Products certified for Spanish environmental regulations (Real Decreto 671/2023) outperformed generic solutions by 58%</w:t>
      </w:r>
    </w:p>
    <w:p>
      <w:pPr>
        <w:numPr>
          <w:ilvl w:val="0"/>
          <w:numId w:val="1003"/>
        </w:numPr>
        <w:pStyle w:val="Compact"/>
      </w:pPr>
      <w:r>
        <w:rPr>
          <w:iCs/>
          <w:i/>
        </w:rPr>
        <w:t xml:space="preserve">Academic Partnerships:</w:t>
      </w:r>
      <w:r>
        <w:t xml:space="preserve"> </w:t>
      </w:r>
      <w:r>
        <w:t xml:space="preserve">Co-branded research initiatives with Universidad Complutense de Madrid increased deal velocity</w:t>
      </w:r>
    </w:p>
    <w:p>
      <w:pPr>
        <w:pStyle w:val="FirstParagraph"/>
      </w:pPr>
      <w:r>
        <w:t xml:space="preserve">The sales conversion rate for Madrid accounts reached 69% – significantly higher than the European average of 45%, validating our Oceanographer-centric strategy.</w:t>
      </w:r>
    </w:p>
    <w:bookmarkEnd w:id="24"/>
    <w:bookmarkStart w:id="25" w:name="vi.-challenges-strategic-response"/>
    <w:p>
      <w:pPr>
        <w:pStyle w:val="Heading2"/>
      </w:pPr>
      <w:r>
        <w:t xml:space="preserve">VI. Challenges &amp; Strategic Response</w:t>
      </w:r>
    </w:p>
    <w:p>
      <w:pPr>
        <w:pStyle w:val="FirstParagraph"/>
      </w:pPr>
      <w:r>
        <w:t xml:space="preserve">While Q3 was successful, challenges emerged in Spain Madrid:</w:t>
      </w:r>
    </w:p>
    <w:p>
      <w:pPr>
        <w:numPr>
          <w:ilvl w:val="0"/>
          <w:numId w:val="1004"/>
        </w:numPr>
        <w:pStyle w:val="Compact"/>
      </w:pPr>
      <w:r>
        <w:rPr>
          <w:iCs/>
          <w:i/>
        </w:rPr>
        <w:t xml:space="preserve">Supply Chain Delays:</w:t>
      </w:r>
      <w:r>
        <w:t xml:space="preserve"> </w:t>
      </w:r>
      <w:r>
        <w:t xml:space="preserve">18% of equipment shipments delayed due to EU maritime logistics constraints (addressed through Madrid-based inventory hub)</w:t>
      </w:r>
    </w:p>
    <w:p>
      <w:pPr>
        <w:numPr>
          <w:ilvl w:val="0"/>
          <w:numId w:val="1004"/>
        </w:numPr>
        <w:pStyle w:val="Compact"/>
      </w:pPr>
      <w:r>
        <w:rPr>
          <w:iCs/>
          <w:i/>
        </w:rPr>
        <w:t xml:space="preserve">Budget Cycles:</w:t>
      </w:r>
      <w:r>
        <w:t xml:space="preserve"> </w:t>
      </w:r>
      <w:r>
        <w:t xml:space="preserve">Government funding delays impacted Q3 procurement (mitigated by flexible payment terms for IEO projects)</w:t>
      </w:r>
    </w:p>
    <w:p>
      <w:pPr>
        <w:pStyle w:val="FirstParagraph"/>
      </w:pPr>
      <w:r>
        <w:t xml:space="preserve">Our Sales Report emphasizes that the Oceanographer team's scientific credibility was pivotal in navigating these challenges. When clients questioned delivery timelines, our Madrid-based Oceanographers provided technical assurance through live data validation demonstrations.</w:t>
      </w:r>
    </w:p>
    <w:bookmarkEnd w:id="25"/>
    <w:bookmarkStart w:id="26" w:name="X18ac687443f524c299b5865d4654814a3927d77"/>
    <w:p>
      <w:pPr>
        <w:pStyle w:val="Heading2"/>
      </w:pPr>
      <w:r>
        <w:t xml:space="preserve">VII. Q4 Strategic Initiatives for Spain Madrid</w:t>
      </w:r>
    </w:p>
    <w:p>
      <w:pPr>
        <w:pStyle w:val="FirstParagraph"/>
      </w:pPr>
      <w:r>
        <w:t xml:space="preserve">Building on Q3 success, the following actions are prioritized for Spain Madrid:</w:t>
      </w:r>
    </w:p>
    <w:p>
      <w:pPr>
        <w:pStyle w:val="BodyText"/>
      </w:pPr>
      <w:r>
        <w:rPr>
          <w:iCs/>
          <w:i/>
        </w:rPr>
        <w:t xml:space="preserve">Launch "Oceanographer Advisory Council":</w:t>
      </w:r>
      <w:r>
        <w:t xml:space="preserve"> </w:t>
      </w:r>
      <w:r>
        <w:t xml:space="preserve">Establishing a formal panel of 12 leading Madrid researchers to co-develop products (target: 20% pipeline increase)</w:t>
      </w:r>
    </w:p>
    <w:p>
      <w:pPr>
        <w:pStyle w:val="BodyText"/>
      </w:pPr>
      <w:r>
        <w:rPr>
          <w:iCs/>
          <w:i/>
        </w:rPr>
        <w:t xml:space="preserve">Expand Training Programs:</w:t>
      </w:r>
      <w:r>
        <w:t xml:space="preserve"> </w:t>
      </w:r>
      <w:r>
        <w:t xml:space="preserve">Partnering with Madrid's marine science institutes for certified Oceanographer training (expected to generate €350K in new sales)</w:t>
      </w:r>
    </w:p>
    <w:p>
      <w:pPr>
        <w:pStyle w:val="BodyText"/>
      </w:pPr>
      <w:r>
        <w:rPr>
          <w:bCs/>
          <w:b/>
          <w:iCs/>
          <w:i/>
        </w:rPr>
        <w:t xml:space="preserve">Targeted Growth Areas:</w:t>
      </w:r>
    </w:p>
    <w:p>
      <w:pPr>
        <w:numPr>
          <w:ilvl w:val="0"/>
          <w:numId w:val="1005"/>
        </w:numPr>
        <w:pStyle w:val="Compact"/>
      </w:pPr>
      <w:r>
        <w:t xml:space="preserve">Mediterranean Deep-Sea Research Consortium (projected €420K revenue)</w:t>
      </w:r>
    </w:p>
    <w:p>
      <w:pPr>
        <w:numPr>
          <w:ilvl w:val="0"/>
          <w:numId w:val="1005"/>
        </w:numPr>
        <w:pStyle w:val="Compact"/>
      </w:pPr>
      <w:r>
        <w:t xml:space="preserve">Madrid Coastal Resilience Initiative (EU-funded, projected €280K)</w:t>
      </w:r>
    </w:p>
    <w:bookmarkEnd w:id="26"/>
    <w:bookmarkStart w:id="27" w:name="Xc6eec1f5a69094f9821a740030e6fb5cc25dc3e"/>
    <w:p>
      <w:pPr>
        <w:pStyle w:val="Heading2"/>
      </w:pPr>
      <w:r>
        <w:t xml:space="preserve">VIII. Conclusion: Oceanographer-Driven Growth in Spain Madrid</w:t>
      </w:r>
    </w:p>
    <w:p>
      <w:pPr>
        <w:pStyle w:val="FirstParagraph"/>
      </w:pPr>
      <w:r>
        <w:t xml:space="preserve">This Sales Report unequivocally demonstrates that specialized expertise in oceanography directly correlates with market success in Spain Madrid. The integration of certified Oceanographers into sales operations has transformed our competitive position, turning technical requirements into compelling business value. As the Spanish government accelerates marine conservation efforts under its 2030 Blue Economy Strategy, Madrid will remain the epicenter for oceanographic commercialization.</w:t>
      </w:r>
    </w:p>
    <w:p>
      <w:pPr>
        <w:pStyle w:val="BodyText"/>
      </w:pPr>
      <w:r>
        <w:t xml:space="preserve">With the Oceanographer team's scientific authority and deep regional market knowledge, we project 24% revenue growth for Spain Madrid in Q4 2023. The Sales Report concludes that continued investment in Oceanographer talent – not merely salespeople – is the sustainable foundation for capturing Spain Madrid's €158M oceanographic technology market. For businesses operating in marine science, success isn't just about selling equipment; it's about collaborating with Oceanographers who understand the data, the ecosystem, and the mission driving Spain Madrid forward.</w:t>
      </w:r>
    </w:p>
    <w:p>
      <w:pPr>
        <w:pStyle w:val="BodyText"/>
      </w:pPr>
      <w:r>
        <w:rPr>
          <w:bCs/>
          <w:b/>
        </w:rPr>
        <w:t xml:space="preserve">Prepared By:</w:t>
      </w:r>
      <w:r>
        <w:t xml:space="preserve"> </w:t>
      </w:r>
      <w:r>
        <w:t xml:space="preserve">Global Sales Intelligence Team</w:t>
      </w:r>
      <w:r>
        <w:br/>
      </w:r>
      <w:r>
        <w:rPr>
          <w:bCs/>
          <w:b/>
        </w:rPr>
        <w:t xml:space="preserve">End of Report – Total Words: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Oceanography Sales Report Q3 2023</dc:title>
  <dc:creator/>
  <dc:language>en</dc:language>
  <cp:keywords/>
  <dcterms:created xsi:type="dcterms:W3CDTF">2026-07-21T03:39:49Z</dcterms:created>
  <dcterms:modified xsi:type="dcterms:W3CDTF">2026-07-21T03:39:49Z</dcterms:modified>
</cp:coreProperties>
</file>

<file path=docProps/custom.xml><?xml version="1.0" encoding="utf-8"?>
<Properties xmlns="http://schemas.openxmlformats.org/officeDocument/2006/custom-properties" xmlns:vt="http://schemas.openxmlformats.org/officeDocument/2006/docPropsVTypes"/>
</file>