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Oceanographer</w:t>
      </w:r>
      <w:r>
        <w:t xml:space="preserve"> </w:t>
      </w:r>
      <w:r>
        <w:t xml:space="preserve">Sales</w:t>
      </w:r>
      <w:r>
        <w:t xml:space="preserve"> </w:t>
      </w:r>
      <w:r>
        <w:t xml:space="preserve">Report:</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Market</w:t>
      </w:r>
    </w:p>
    <w:bookmarkStart w:id="29" w:name="Xa90b99da289e4807674add8657fa212bf87da09"/>
    <w:p>
      <w:pPr>
        <w:pStyle w:val="Heading1"/>
      </w:pPr>
      <w:r>
        <w:t xml:space="preserve">Sales Report: Oceanographer Solutions in the United Arab Emirates Dubai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Oceanographer Solutions across the United Arab Emirates Dubai market during Q3 2023. As a leading provider of marine technology and oceanographic services, Oceanographer has achieved remarkable growth in Dubai's rapidly expanding maritime sector. The quarter witnessed a 37% year-over-year increase in revenue, driven by strategic partnerships with UAE government entities and private-sector giants. This document outlines key sales metrics, market insights, and future initiatives tailored to the unique dynamics of the United Arab Emirates Dubai ecosystem.</w:t>
      </w:r>
    </w:p>
    <w:bookmarkEnd w:id="20"/>
    <w:bookmarkStart w:id="21" w:name="X21bf012eb2d89cab476f1cd0e6526e021c9b607"/>
    <w:p>
      <w:pPr>
        <w:pStyle w:val="Heading2"/>
      </w:pPr>
      <w:r>
        <w:t xml:space="preserve">II. Market Context: Oceanographer in Dubai's Strategic Landscape</w:t>
      </w:r>
    </w:p>
    <w:p>
      <w:pPr>
        <w:pStyle w:val="FirstParagraph"/>
      </w:pPr>
      <w:r>
        <w:t xml:space="preserve">Dubai's position as a global maritime hub within the United Arab Emirates makes it a critical market for Oceanographer Solutions. The UAE government’s Vision 2030 emphasizes marine conservation and sustainable coastal development, creating unprecedented demand for advanced oceanographic services. Oceanographer has positioned itself as the premier partner for Dubai’s ambitions in maritime technology, aligning with initiatives like Dubai Marine Strategy and Abu Dhabi's National Marine Conservation Program. Our localized approach—incorporating Gulf-specific environmental data and UAE regulatory frameworks—has cemented Oceanographer as an indispensable resource for regional stakeholders.</w:t>
      </w:r>
    </w:p>
    <w:bookmarkEnd w:id="21"/>
    <w:bookmarkStart w:id="23" w:name="X651d7e53ff188993097a57dbe7898dae7deebf5"/>
    <w:p>
      <w:pPr>
        <w:pStyle w:val="Heading2"/>
      </w:pPr>
      <w:r>
        <w:t xml:space="preserve">III. Q3 2023 Sales Performance Highlights</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Revenue (AED)</w:t>
      </w:r>
    </w:p>
    <w:p>
      <w:pPr>
        <w:pStyle w:val="BodyText"/>
      </w:pPr>
      <w:r>
        <w:t xml:space="preserve">18,450,000</w:t>
      </w:r>
    </w:p>
    <w:p>
      <w:pPr>
        <w:pStyle w:val="BodyText"/>
      </w:pPr>
      <w:r>
        <w:t xml:space="preserve">13,465,000</w:t>
      </w:r>
    </w:p>
    <w:p>
      <w:pPr>
        <w:pStyle w:val="BodyText"/>
      </w:pPr>
      <w:r>
        <w:t xml:space="preserve">+37.2%</w:t>
      </w:r>
    </w:p>
    <w:p>
      <w:pPr>
        <w:pStyle w:val="BodyText"/>
      </w:pPr>
      <w:r>
        <w:t xml:space="preserve">New Client Acquisition</w:t>
      </w:r>
    </w:p>
    <w:p>
      <w:pPr>
        <w:pStyle w:val="BodyText"/>
      </w:pPr>
      <w:r>
        <w:t xml:space="preserve">22</w:t>
      </w:r>
    </w:p>
    <w:p>
      <w:pPr>
        <w:pStyle w:val="BodyText"/>
      </w:pPr>
      <w:r>
        <w:t xml:space="preserve">14</w:t>
      </w:r>
    </w:p>
    <w:p>
      <w:pPr>
        <w:pStyle w:val="BodyText"/>
      </w:pPr>
      <w:r>
        <w:t xml:space="preserve">+57.1%</w:t>
      </w:r>
    </w:p>
    <w:p>
      <w:pPr>
        <w:pStyle w:val="BodyText"/>
      </w:pPr>
      <w:r>
        <w:t xml:space="preserve">AED 850,000</w:t>
      </w:r>
    </w:p>
    <w:p>
      <w:pPr>
        <w:pStyle w:val="BodyText"/>
      </w:pPr>
      <w:r>
        <w:t xml:space="preserve">AED 720,000</w:t>
      </w:r>
    </w:p>
    <w:p>
      <w:pPr>
        <w:pStyle w:val="BodyText"/>
      </w:pPr>
      <w:r>
        <w:t xml:space="preserve">+18.1%</w:t>
      </w:r>
    </w:p>
    <w:p>
      <w:pPr>
        <w:pStyle w:val="BodyText"/>
      </w:pPr>
      <w:r>
        <w:t xml:space="preserve">94%</w:t>
      </w:r>
    </w:p>
    <w:p>
      <w:pPr>
        <w:pStyle w:val="BodyText"/>
      </w:pPr>
      <w:r>
        <w:t xml:space="preserve">89%</w:t>
      </w:r>
    </w:p>
    <w:bookmarkStart w:id="22" w:name="a.-key-revenue-drivers"/>
    <w:p>
      <w:pPr>
        <w:pStyle w:val="Heading3"/>
      </w:pPr>
      <w:r>
        <w:t xml:space="preserve">A. Key Revenue Drivers</w:t>
      </w:r>
    </w:p>
    <w:p>
      <w:pPr>
        <w:numPr>
          <w:ilvl w:val="0"/>
          <w:numId w:val="1001"/>
        </w:numPr>
        <w:pStyle w:val="Compact"/>
      </w:pPr>
      <w:r>
        <w:rPr>
          <w:bCs/>
          <w:b/>
        </w:rPr>
        <w:t xml:space="preserve">Government Contracts:</w:t>
      </w:r>
      <w:r>
        <w:t xml:space="preserve"> </w:t>
      </w:r>
      <w:r>
        <w:t xml:space="preserve">58% of Q3 revenue stemmed from UAE federal and Dubai municipal projects, including the Dubai Supreme Council of Energy’s coastal erosion monitoring initiative and the Port Rashid expansion project.</w:t>
      </w:r>
    </w:p>
    <w:p>
      <w:pPr>
        <w:numPr>
          <w:ilvl w:val="0"/>
          <w:numId w:val="1001"/>
        </w:numPr>
        <w:pStyle w:val="Compact"/>
      </w:pPr>
      <w:r>
        <w:rPr>
          <w:bCs/>
          <w:b/>
        </w:rPr>
        <w:t xml:space="preserve">Sustainable Tourism Partnerships:</w:t>
      </w:r>
      <w:r>
        <w:t xml:space="preserve"> </w:t>
      </w:r>
      <w:r>
        <w:t xml:space="preserve">Collaborations with Atlantis The Palm and Dubai Parks &amp; Resorts for marine ecosystem health assessments generated AED 4.2M in new contracts.</w:t>
      </w:r>
    </w:p>
    <w:p>
      <w:pPr>
        <w:numPr>
          <w:ilvl w:val="0"/>
          <w:numId w:val="1001"/>
        </w:numPr>
        <w:pStyle w:val="Compact"/>
      </w:pPr>
      <w:r>
        <w:rPr>
          <w:bCs/>
          <w:b/>
        </w:rPr>
        <w:t xml:space="preserve">Marine Data Platform Subscriptions:</w:t>
      </w:r>
      <w:r>
        <w:t xml:space="preserve"> </w:t>
      </w:r>
      <w:r>
        <w:t xml:space="preserve">Oceanographer’s proprietary "Gulf Insight" analytics platform saw 120% growth in enterprise subscriptions across Dubai-based shipping and offshore energy firms.</w:t>
      </w:r>
    </w:p>
    <w:bookmarkEnd w:id="22"/>
    <w:bookmarkEnd w:id="23"/>
    <w:bookmarkStart w:id="24" w:name="X05938a22832786bd5c822639370fc4df4c73ed0"/>
    <w:p>
      <w:pPr>
        <w:pStyle w:val="Heading2"/>
      </w:pPr>
      <w:r>
        <w:t xml:space="preserve">IV. Strategic Advantages of Oceanographer in United Arab Emirates Dubai</w:t>
      </w:r>
    </w:p>
    <w:p>
      <w:pPr>
        <w:pStyle w:val="FirstParagraph"/>
      </w:pPr>
      <w:r>
        <w:t xml:space="preserve">The success of Oceanographer in the United Arab Emirates Dubai market stems from three pillars:</w:t>
      </w:r>
    </w:p>
    <w:p>
      <w:pPr>
        <w:numPr>
          <w:ilvl w:val="0"/>
          <w:numId w:val="1002"/>
        </w:numPr>
        <w:pStyle w:val="Compact"/>
      </w:pPr>
      <w:r>
        <w:rPr>
          <w:bCs/>
          <w:b/>
        </w:rPr>
        <w:t xml:space="preserve">Hyper-Local Expertise:</w:t>
      </w:r>
      <w:r>
        <w:t xml:space="preserve"> </w:t>
      </w:r>
      <w:r>
        <w:t xml:space="preserve">Our Dubai office employs 15+ UAE nationals with PhDs in marine science, enabling seamless navigation of local regulations like the Federal Law No. 29 of 2006 on Marine Environment Protection.</w:t>
      </w:r>
    </w:p>
    <w:p>
      <w:pPr>
        <w:numPr>
          <w:ilvl w:val="0"/>
          <w:numId w:val="1002"/>
        </w:numPr>
        <w:pStyle w:val="Compact"/>
      </w:pPr>
      <w:r>
        <w:rPr>
          <w:bCs/>
          <w:b/>
        </w:rPr>
        <w:t xml:space="preserve">Cultural Integration:</w:t>
      </w:r>
      <w:r>
        <w:t xml:space="preserve"> </w:t>
      </w:r>
      <w:r>
        <w:t xml:space="preserve">Oceanographer co-hosted three industry forums in Dubai with the Ministry of Climate Change and Environment (MOCCAE), positioning us as a trusted knowledge partner rather than an external vendor.</w:t>
      </w:r>
    </w:p>
    <w:p>
      <w:pPr>
        <w:numPr>
          <w:ilvl w:val="0"/>
          <w:numId w:val="1002"/>
        </w:numPr>
        <w:pStyle w:val="Compact"/>
      </w:pPr>
      <w:r>
        <w:rPr>
          <w:bCs/>
          <w:b/>
        </w:rPr>
        <w:t xml:space="preserve">Technology Adaptation:</w:t>
      </w:r>
      <w:r>
        <w:t xml:space="preserve"> </w:t>
      </w:r>
      <w:r>
        <w:t xml:space="preserve">Our ocean sensors were redesigned for Gulf-specific conditions (e.g., salinity levels 35% higher than global averages), directly addressing Dubai’s environmental challenges. This innovation secured the "Best Marine Tech Solution" award at the Dubai Maritime Summit 2023.</w:t>
      </w:r>
    </w:p>
    <w:bookmarkEnd w:id="24"/>
    <w:bookmarkStart w:id="25" w:name="v.-challenges-and-mitigation-strategies"/>
    <w:p>
      <w:pPr>
        <w:pStyle w:val="Heading2"/>
      </w:pPr>
      <w:r>
        <w:t xml:space="preserve">V. Challenges and Mitigation Strategies</w:t>
      </w:r>
    </w:p>
    <w:p>
      <w:pPr>
        <w:pStyle w:val="FirstParagraph"/>
      </w:pPr>
      <w:r>
        <w:t xml:space="preserve">Despite growth, we encountered three key challenges in United Arab Emirates Dubai:</w:t>
      </w:r>
    </w:p>
    <w:p>
      <w:pPr>
        <w:numPr>
          <w:ilvl w:val="0"/>
          <w:numId w:val="1003"/>
        </w:numPr>
        <w:pStyle w:val="Compact"/>
      </w:pPr>
      <w:r>
        <w:rPr>
          <w:bCs/>
          <w:b/>
        </w:rPr>
        <w:t xml:space="preserve">Regulatory Complexity:</w:t>
      </w:r>
      <w:r>
        <w:t xml:space="preserve"> </w:t>
      </w:r>
      <w:r>
        <w:t xml:space="preserve">Navigating multiple federal vs. emirate-level approvals slowed two major contracts. *Mitigation:* Established a dedicated UAE compliance team at our Dubai HQ, reducing approval timelines by 40%.</w:t>
      </w:r>
    </w:p>
    <w:p>
      <w:pPr>
        <w:numPr>
          <w:ilvl w:val="0"/>
          <w:numId w:val="1003"/>
        </w:numPr>
        <w:pStyle w:val="Compact"/>
      </w:pPr>
      <w:r>
        <w:rPr>
          <w:bCs/>
          <w:b/>
        </w:rPr>
        <w:t xml:space="preserve">Competitive Pressure:</w:t>
      </w:r>
      <w:r>
        <w:t xml:space="preserve"> </w:t>
      </w:r>
      <w:r>
        <w:t xml:space="preserve">Local firms undercutting prices on low-margin projects. *Mitigation:* Shifted focus to high-value solutions (e.g., AI-driven coral reef restoration for Dubai’s new marine parks), where Oceanographer’s technology delivers 3x ROI.</w:t>
      </w:r>
    </w:p>
    <w:p>
      <w:pPr>
        <w:numPr>
          <w:ilvl w:val="0"/>
          <w:numId w:val="1003"/>
        </w:numPr>
        <w:pStyle w:val="Compact"/>
      </w:pPr>
      <w:r>
        <w:rPr>
          <w:bCs/>
          <w:b/>
        </w:rPr>
        <w:t xml:space="preserve">Talent Retention:</w:t>
      </w:r>
      <w:r>
        <w:t xml:space="preserve"> </w:t>
      </w:r>
      <w:r>
        <w:t xml:space="preserve">Shortage of certified oceanographers in Dubai. *Mitigation:* Partnered with Khalifa University to launch the "Oceanographer Academy," training 47 UAE nationals in marine data analysis (85% hired by our Dubai office).</w:t>
      </w:r>
    </w:p>
    <w:bookmarkEnd w:id="25"/>
    <w:bookmarkStart w:id="26" w:name="X5a5487f3e59fe4d4460e4adcadf8acd4d7438d5"/>
    <w:p>
      <w:pPr>
        <w:pStyle w:val="Heading2"/>
      </w:pPr>
      <w:r>
        <w:t xml:space="preserve">VI. Future Roadmap for United Arab Emirates Dubai</w:t>
      </w:r>
    </w:p>
    <w:p>
      <w:pPr>
        <w:pStyle w:val="FirstParagraph"/>
      </w:pPr>
      <w:r>
        <w:t xml:space="preserve">To sustain momentum, Oceanographer’s Dubai strategy prioritizes:</w:t>
      </w:r>
    </w:p>
    <w:p>
      <w:pPr>
        <w:numPr>
          <w:ilvl w:val="0"/>
          <w:numId w:val="1004"/>
        </w:numPr>
        <w:pStyle w:val="Compact"/>
      </w:pPr>
      <w:r>
        <w:rPr>
          <w:bCs/>
          <w:b/>
        </w:rPr>
        <w:t xml:space="preserve">Expanding into New UAE Sectors:</w:t>
      </w:r>
      <w:r>
        <w:t xml:space="preserve"> </w:t>
      </w:r>
      <w:r>
        <w:t xml:space="preserve">Targeting the burgeoning aquaculture industry (Dubai aims for 50% self-sufficiency in seafood by 2030) with custom monitoring systems.</w:t>
      </w:r>
    </w:p>
    <w:p>
      <w:pPr>
        <w:numPr>
          <w:ilvl w:val="0"/>
          <w:numId w:val="1004"/>
        </w:numPr>
        <w:pStyle w:val="Compact"/>
      </w:pPr>
      <w:r>
        <w:rPr>
          <w:bCs/>
          <w:b/>
        </w:rPr>
        <w:t xml:space="preserve">Dubai Smart City Integration:</w:t>
      </w:r>
      <w:r>
        <w:t xml:space="preserve"> </w:t>
      </w:r>
      <w:r>
        <w:t xml:space="preserve">Partnering with Dubai Smart Government to embed Oceanographer’s real-time water quality data into the city’s digital infrastructure.</w:t>
      </w:r>
    </w:p>
    <w:p>
      <w:pPr>
        <w:numPr>
          <w:ilvl w:val="0"/>
          <w:numId w:val="1004"/>
        </w:numPr>
        <w:pStyle w:val="Compact"/>
      </w:pPr>
      <w:r>
        <w:rPr>
          <w:bCs/>
          <w:b/>
        </w:rPr>
        <w:t xml:space="preserve">Sustainability Certification:</w:t>
      </w:r>
      <w:r>
        <w:t xml:space="preserve"> </w:t>
      </w:r>
      <w:r>
        <w:t xml:space="preserve">Achieving ISO 14001 for all UAE operations by Q2 2024, aligning with Dubai Clean Energy Strategy 2050.</w:t>
      </w:r>
    </w:p>
    <w:bookmarkEnd w:id="26"/>
    <w:bookmarkStart w:id="28" w:name="vii.-conclusion"/>
    <w:p>
      <w:pPr>
        <w:pStyle w:val="Heading2"/>
      </w:pPr>
      <w:r>
        <w:t xml:space="preserve">VII. Conclusion</w:t>
      </w:r>
    </w:p>
    <w:p>
      <w:pPr>
        <w:pStyle w:val="FirstParagraph"/>
      </w:pPr>
      <w:r>
        <w:t xml:space="preserve">The Q3 Sales Report underscores Oceanographer’s transformation from a regional player to the de facto oceanographic solutions leader in United Arab Emirates Dubai. Our revenue growth (37% YoY) and client retention (94%) reflect deep market integration, driven by unwavering commitment to Dubai’s sustainable maritime vision. As the UAE accelerates its green economy initiatives, Oceanographer is uniquely positioned to deliver data-driven ocean stewardship that supports both economic ambition and environmental preservation. We project Q4 2023 revenue to reach AED 21M, with a focus on cementing partnerships with key Dubai entities like Dubai Holding and DP World.</w:t>
      </w:r>
    </w:p>
    <w:p>
      <w:pPr>
        <w:pStyle w:val="BodyText"/>
      </w:pPr>
      <w:r>
        <w:t xml:space="preserve">For the United Arab Emirates Dubai market, Oceanographer isn’t just a vendor—it’s an enabler of the Gulf’s oceanic future. This Sales Report confirms our strategic alignment with UAE national objectives and our readiness to scale operations as the region invests in blue economy growth. We recommend doubling down on talent development and regulatory partnerships to maintain our leadership position.</w:t>
      </w:r>
    </w:p>
    <w:bookmarkStart w:id="27" w:name="prepared-by"/>
    <w:p>
      <w:pPr>
        <w:pStyle w:val="Heading3"/>
      </w:pPr>
      <w:r>
        <w:t xml:space="preserve">Prepared By:</w:t>
      </w:r>
    </w:p>
    <w:p>
      <w:pPr>
        <w:pStyle w:val="FirstParagraph"/>
      </w:pPr>
      <w:r>
        <w:t xml:space="preserve">Global Sales Strategy Team, Oceanographer Solutions</w:t>
      </w:r>
      <w:r>
        <w:br/>
      </w:r>
      <w:r>
        <w:t xml:space="preserve">Dubai Office: Al Fayah Tower, Level 12, Business Bay</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Oceanographer Sales Report: United Arab Emirates Dubai Market</dc:title>
  <dc:creator/>
  <dc:language>en</dc:language>
  <cp:keywords/>
  <dcterms:created xsi:type="dcterms:W3CDTF">2026-07-23T16:48:49Z</dcterms:created>
  <dcterms:modified xsi:type="dcterms:W3CDTF">2026-07-23T16:48:49Z</dcterms:modified>
</cp:coreProperties>
</file>

<file path=docProps/custom.xml><?xml version="1.0" encoding="utf-8"?>
<Properties xmlns="http://schemas.openxmlformats.org/officeDocument/2006/custom-properties" xmlns:vt="http://schemas.openxmlformats.org/officeDocument/2006/docPropsVTypes"/>
</file>