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30" w:name="X18fecfd3fc7fd2c1f79c5f18febcf7a1276be17"/>
    <w:p>
      <w:pPr>
        <w:pStyle w:val="Heading1"/>
      </w:pPr>
      <w:r>
        <w:t xml:space="preserve">Official Sales Report: Oceanographer Product Line Performance in United Kingdom Birmingham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Oceanographer Global Operations</w:t>
      </w:r>
      <w:r>
        <w:br/>
      </w:r>
      <w:r>
        <w:rPr>
          <w:bCs/>
          <w:b/>
        </w:rPr>
        <w:t xml:space="preserve">Region Covered:</w:t>
      </w:r>
      <w:r>
        <w:t xml:space="preserve"> </w:t>
      </w:r>
      <w:r>
        <w:t xml:space="preserve">United Kingdom Birmingham Metropolitan Area</w:t>
      </w:r>
    </w:p>
    <w:bookmarkStart w:id="20" w:name="i.-executive-summary"/>
    <w:p>
      <w:pPr>
        <w:pStyle w:val="Heading2"/>
      </w:pPr>
      <w:r>
        <w:t xml:space="preserve">I. Executive Summary</w:t>
      </w:r>
    </w:p>
    <w:p>
      <w:pPr>
        <w:pStyle w:val="FirstParagraph"/>
      </w:pPr>
      <w:r>
        <w:t xml:space="preserve">This Sales Report details the performance of the</w:t>
      </w:r>
      <w:r>
        <w:t xml:space="preserve"> </w:t>
      </w:r>
      <w:r>
        <w:rPr>
          <w:iCs/>
          <w:i/>
        </w:rPr>
        <w:t xml:space="preserve">Oceanographer</w:t>
      </w:r>
      <w:r>
        <w:t xml:space="preserve"> </w:t>
      </w:r>
      <w:r>
        <w:t xml:space="preserve">product suite within the United Kingdom Birmingham market during Q3 2024. The Oceanographer platform, a cutting-edge oceanographic data analytics solution designed for coastal infrastructure management, achieved remarkable growth in Birmingham, reflecting strong alignment with regional sustainability goals and industrial needs. This Sales Report confirms a 37% YoY revenue increase in United Kingdom Birmingham, driven by strategic partnerships with local port authorities and environmental agencies. The success underscores Oceanographer's critical role in supporting the UK's blue economy ambitions within the Midlands region.</w:t>
      </w:r>
    </w:p>
    <w:bookmarkEnd w:id="20"/>
    <w:bookmarkStart w:id="21" w:name="X7806db49ce2de2f2908708beccb1d8cc7088a9b"/>
    <w:p>
      <w:pPr>
        <w:pStyle w:val="Heading2"/>
      </w:pPr>
      <w:r>
        <w:t xml:space="preserve">II. Market Analysis: United Kingdom Birmingham Context</w:t>
      </w:r>
    </w:p>
    <w:p>
      <w:pPr>
        <w:pStyle w:val="FirstParagraph"/>
      </w:pPr>
      <w:r>
        <w:t xml:space="preserve">Birmingham serves as a pivotal hub for innovation within the United Kingdom, particularly for industries leveraging data-driven environmental solutions. As a major inland city with direct access to the River Severn and proximity to Bristol's port (within 3 hours), Birmingham is strategically positioned for marine technology adoption. The local government's commitment to the "Birmingham City Council Climate Action Plan 2024-2030" prioritizes coastal resilience and sustainable water management – directly aligning with Oceanographer’s core value proposition.</w:t>
      </w:r>
    </w:p>
    <w:p>
      <w:pPr>
        <w:pStyle w:val="BodyText"/>
      </w:pPr>
      <w:r>
        <w:t xml:space="preserve">Key market drivers in United Kingdom Birmingham include:</w:t>
      </w:r>
    </w:p>
    <w:p>
      <w:pPr>
        <w:numPr>
          <w:ilvl w:val="0"/>
          <w:numId w:val="1001"/>
        </w:numPr>
        <w:pStyle w:val="Compact"/>
      </w:pPr>
      <w:r>
        <w:t xml:space="preserve">The UK Government's £3.6bn Green Prosperity Fund, actively supporting Midlands-based marine tech startups.</w:t>
      </w:r>
    </w:p>
    <w:p>
      <w:pPr>
        <w:numPr>
          <w:ilvl w:val="0"/>
          <w:numId w:val="1001"/>
        </w:numPr>
        <w:pStyle w:val="Compact"/>
      </w:pPr>
      <w:r>
        <w:t xml:space="preserve">Growing demand from Birmingham International Airport (BIA) for environmental compliance analytics across its 200+ operational flights and cargo facilities.</w:t>
      </w:r>
    </w:p>
    <w:p>
      <w:pPr>
        <w:numPr>
          <w:ilvl w:val="0"/>
          <w:numId w:val="1001"/>
        </w:numPr>
        <w:pStyle w:val="Compact"/>
      </w:pPr>
      <w:r>
        <w:t xml:space="preserve">Collaboration opportunities with the University of Birmingham's Ocean and Climate Research Centre, a leading UK academic partner in ocean science.</w:t>
      </w:r>
    </w:p>
    <w:bookmarkEnd w:id="21"/>
    <w:bookmarkStart w:id="25" w:name="iii.-oceanographer-product-performance"/>
    <w:p>
      <w:pPr>
        <w:pStyle w:val="Heading2"/>
      </w:pPr>
      <w:r>
        <w:t xml:space="preserve">III. Oceanographer Product Performance</w:t>
      </w:r>
    </w:p>
    <w:p>
      <w:pPr>
        <w:pStyle w:val="FirstParagraph"/>
      </w:pPr>
      <w:r>
        <w:t xml:space="preserve">The Oceanographer platform – comprising real-time wave forecasting, sediment tracking, and coastal erosion modelling modules – has been specifically tailored for United Kingdom Birmingham's unique environmental challenges. This Sales Report highlights three key product segments:</w:t>
      </w:r>
    </w:p>
    <w:bookmarkStart w:id="22" w:name="a.-commercial-ports-logistics"/>
    <w:p>
      <w:pPr>
        <w:pStyle w:val="Heading3"/>
      </w:pPr>
      <w:r>
        <w:t xml:space="preserve">A. Commercial Ports &amp; Logistics</w:t>
      </w:r>
    </w:p>
    <w:p>
      <w:pPr>
        <w:pStyle w:val="FirstParagraph"/>
      </w:pPr>
      <w:r>
        <w:t xml:space="preserve">Adoption surged among Birmingham-based logistics firms managing riverine cargo (e.g., Balfour Beatty Logistics, Midlands Waterways Consortium). The Oceanographer’s predictive sediment analytics reduced vessel docking delays by 22% at the Birmingham Canal Navigations Trust terminals. Q3 revenue from this segment reached £185,000 – a 49% increase from Q3 2023.</w:t>
      </w:r>
    </w:p>
    <w:bookmarkEnd w:id="22"/>
    <w:bookmarkStart w:id="23" w:name="b.-municipal-environmental-management"/>
    <w:p>
      <w:pPr>
        <w:pStyle w:val="Heading3"/>
      </w:pPr>
      <w:r>
        <w:t xml:space="preserve">B. Municipal Environmental Management</w:t>
      </w:r>
    </w:p>
    <w:p>
      <w:pPr>
        <w:pStyle w:val="FirstParagraph"/>
      </w:pPr>
      <w:r>
        <w:t xml:space="preserve">Three key United Kingdom Birmingham city councils (Birmingham City Council, Sandwell, and Solihull) implemented Oceanographer for flood risk assessment along the River Tame corridor. The system's integration with local GIS infrastructure was pivotal in securing these contracts. This segment contributed £142,000 to total Q3 sales.</w:t>
      </w:r>
    </w:p>
    <w:bookmarkEnd w:id="23"/>
    <w:bookmarkStart w:id="24" w:name="c.-academic-research-partnerships"/>
    <w:p>
      <w:pPr>
        <w:pStyle w:val="Heading3"/>
      </w:pPr>
      <w:r>
        <w:t xml:space="preserve">C. Academic &amp; Research Partnerships</w:t>
      </w:r>
    </w:p>
    <w:p>
      <w:pPr>
        <w:pStyle w:val="FirstParagraph"/>
      </w:pPr>
      <w:r>
        <w:t xml:space="preserve">The University of Birmingham’s Marine Technology Initiative adopted Oceanographer as its primary data analytics tool for the Severn Estuary Project. This partnership, formalized in July 2024, represents a significant credibility milestone for the Oceanographer brand within UK academia and will generate recurring revenue through annual licensing.</w:t>
      </w:r>
    </w:p>
    <w:bookmarkEnd w:id="24"/>
    <w:bookmarkEnd w:id="25"/>
    <w:bookmarkStart w:id="26" w:name="Xc04eaee3344c8ec484e5a33291139e2fe7b6608"/>
    <w:p>
      <w:pPr>
        <w:pStyle w:val="Heading2"/>
      </w:pPr>
      <w:r>
        <w:t xml:space="preserve">IV. Sales Performance Breakdown (United Kingdom Birmingham)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Q3 2024 Revenue</w:t>
            </w:r>
          </w:p>
        </w:tc>
        <w:tc>
          <w:tcPr/>
          <w:p>
            <w:pPr>
              <w:pStyle w:val="Compact"/>
              <w:jc w:val="left"/>
            </w:pPr>
            <w:r>
              <w:t xml:space="preserve">% of Total UK Birmingham Sales</w:t>
            </w:r>
          </w:p>
        </w:tc>
        <w:tc>
          <w:tcPr/>
          <w:p>
            <w:pPr>
              <w:pStyle w:val="Compact"/>
              <w:jc w:val="left"/>
            </w:pPr>
            <w:r>
              <w:t xml:space="preserve">YoY Growth</w:t>
            </w:r>
          </w:p>
        </w:tc>
      </w:tr>
      <w:tr>
        <w:tc>
          <w:tcPr/>
          <w:p>
            <w:pPr>
              <w:pStyle w:val="Compact"/>
              <w:jc w:val="left"/>
            </w:pPr>
            <w:r>
              <w:t xml:space="preserve">Commercial Ports &amp; Logistics</w:t>
            </w:r>
          </w:p>
        </w:tc>
        <w:tc>
          <w:tcPr/>
          <w:p>
            <w:pPr>
              <w:pStyle w:val="Compact"/>
              <w:jc w:val="left"/>
            </w:pPr>
            <w:r>
              <w:t xml:space="preserve">£185,000</w:t>
            </w:r>
          </w:p>
        </w:tc>
        <w:tc>
          <w:tcPr/>
          <w:p>
            <w:pPr>
              <w:pStyle w:val="Compact"/>
              <w:jc w:val="left"/>
            </w:pPr>
            <w:r>
              <w:t xml:space="preserve">43%</w:t>
            </w:r>
          </w:p>
        </w:tc>
        <w:tc>
          <w:tcPr/>
          <w:p>
            <w:pPr>
              <w:pStyle w:val="Compact"/>
              <w:jc w:val="left"/>
            </w:pPr>
            <w:r>
              <w:t xml:space="preserve">+49%</w:t>
            </w:r>
          </w:p>
        </w:tc>
      </w:tr>
      <w:tr>
        <w:tc>
          <w:tcPr/>
          <w:p>
            <w:pPr>
              <w:pStyle w:val="Compact"/>
              <w:jc w:val="left"/>
            </w:pPr>
            <w:r>
              <w:t xml:space="preserve">Municipal Environmental Management</w:t>
            </w:r>
          </w:p>
        </w:tc>
        <w:tc>
          <w:tcPr>
            <w:gridSpan w:val="2"/>
          </w:tcPr>
          <w:p>
            <w:pPr>
              <w:pStyle w:val="Compact"/>
              <w:jc w:val="left"/>
            </w:pPr>
            <w:r>
              <w:t xml:space="preserve">£142,000 (33%)</w:t>
            </w:r>
          </w:p>
        </w:tc>
        <w:tc>
          <w:tcPr/>
          <w:p>
            <w:pPr>
              <w:pStyle w:val="Compact"/>
            </w:pPr>
          </w:p>
        </w:tc>
      </w:tr>
      <w:tr>
        <w:tc>
          <w:tcPr/>
          <w:p>
            <w:pPr>
              <w:pStyle w:val="Compact"/>
              <w:jc w:val="left"/>
            </w:pPr>
            <w:r>
              <w:t xml:space="preserve">Academic &amp; Research Partnerships</w:t>
            </w:r>
          </w:p>
        </w:tc>
        <w:tc>
          <w:tcPr/>
          <w:p>
            <w:pPr>
              <w:pStyle w:val="Compact"/>
              <w:jc w:val="left"/>
            </w:pPr>
            <w:r>
              <w:t xml:space="preserve">£87,000</w:t>
            </w:r>
          </w:p>
        </w:tc>
        <w:tc>
          <w:tcPr/>
          <w:p>
            <w:pPr>
              <w:pStyle w:val="Compact"/>
              <w:jc w:val="left"/>
            </w:pPr>
            <w:r>
              <w:t xml:space="preserve">21%</w:t>
            </w:r>
          </w:p>
        </w:tc>
        <w:tc>
          <w:tcPr/>
          <w:p>
            <w:pPr>
              <w:pStyle w:val="Compact"/>
              <w:jc w:val="left"/>
            </w:pPr>
            <w:r>
              <w:t xml:space="preserve">+95% (new contract)</w:t>
            </w:r>
          </w:p>
        </w:tc>
      </w:tr>
      <w:tr>
        <w:tc>
          <w:tcPr/>
          <w:p>
            <w:pPr>
              <w:pStyle w:val="Compact"/>
              <w:jc w:val="left"/>
            </w:pPr>
            <w:r>
              <w:t xml:space="preserve">Total Birmingham Sales</w:t>
            </w:r>
          </w:p>
        </w:tc>
        <w:tc>
          <w:tcPr>
            <w:gridSpan w:val="3"/>
          </w:tcPr>
          <w:p>
            <w:pPr>
              <w:pStyle w:val="Compact"/>
              <w:jc w:val="left"/>
            </w:pPr>
            <w:r>
              <w:t xml:space="preserve">£414,000</w:t>
            </w:r>
          </w:p>
        </w:tc>
      </w:tr>
    </w:tbl>
    <w:p>
      <w:pPr>
        <w:pStyle w:val="BodyText"/>
      </w:pPr>
      <w:r>
        <w:t xml:space="preserve">Notably, United Kingdom Birmingham’s performance exceeded regional sales targets by 28% in Q3 2024. This outperformance stems from a focused local marketing campaign emphasizing Oceanographer's compliance with the UK Environment Act 2021 and support for Midlands Net Zero initiatives.</w:t>
      </w:r>
    </w:p>
    <w:bookmarkEnd w:id="26"/>
    <w:bookmarkStart w:id="27" w:name="v.-key-challenges-mitigation-strategies"/>
    <w:p>
      <w:pPr>
        <w:pStyle w:val="Heading2"/>
      </w:pPr>
      <w:r>
        <w:t xml:space="preserve">V. Key Challenges &amp; Mitigation Strategies</w:t>
      </w:r>
    </w:p>
    <w:p>
      <w:pPr>
        <w:pStyle w:val="FirstParagraph"/>
      </w:pPr>
      <w:r>
        <w:t xml:space="preserve">While growth was strong, this Sales Report identifies two primary challenges in United Kingdom Birmingham:</w:t>
      </w:r>
    </w:p>
    <w:p>
      <w:pPr>
        <w:numPr>
          <w:ilvl w:val="0"/>
          <w:numId w:val="1002"/>
        </w:numPr>
        <w:pStyle w:val="Compact"/>
      </w:pPr>
      <w:r>
        <w:rPr>
          <w:bCs/>
          <w:b/>
        </w:rPr>
        <w:t xml:space="preserve">Supply Chain Logistics:</w:t>
      </w:r>
      <w:r>
        <w:t xml:space="preserve"> </w:t>
      </w:r>
      <w:r>
        <w:t xml:space="preserve">Initial delays in hardware deployment for river monitoring stations due to UK port congestion. *Mitigation:* Partnering with Birmingham-based logistics firm "Translink Midlands" reduced delivery times by 35%.</w:t>
      </w:r>
    </w:p>
    <w:p>
      <w:pPr>
        <w:numPr>
          <w:ilvl w:val="0"/>
          <w:numId w:val="1002"/>
        </w:numPr>
        <w:pStyle w:val="Compact"/>
      </w:pPr>
      <w:r>
        <w:rPr>
          <w:bCs/>
          <w:b/>
        </w:rPr>
        <w:t xml:space="preserve">Competitive Landscape:</w:t>
      </w:r>
      <w:r>
        <w:t xml:space="preserve"> </w:t>
      </w:r>
      <w:r>
        <w:t xml:space="preserve">Local firms offered cheaper but less accurate data solutions. *Mitigation:* Implemented a free "Birmingham Coastal Health Scorecard" tool during Q3, demonstrating Oceanographer's superior predictive accuracy (verified by University of Birmingham data).</w:t>
      </w:r>
    </w:p>
    <w:bookmarkEnd w:id="27"/>
    <w:bookmarkStart w:id="28" w:name="X9cf7590c18d42d2574054a6182797a6afdada0c"/>
    <w:p>
      <w:pPr>
        <w:pStyle w:val="Heading2"/>
      </w:pPr>
      <w:r>
        <w:t xml:space="preserve">VI. Future Strategy for United Kingdom Birmingham</w:t>
      </w:r>
    </w:p>
    <w:p>
      <w:pPr>
        <w:pStyle w:val="FirstParagraph"/>
      </w:pPr>
      <w:r>
        <w:t xml:space="preserve">The next phase of Oceanographer's strategy in the United Kingdom Birmingham market prioritizes scalability and community impact. This Sales Report outlines the following initiatives:</w:t>
      </w:r>
    </w:p>
    <w:p>
      <w:pPr>
        <w:numPr>
          <w:ilvl w:val="0"/>
          <w:numId w:val="1003"/>
        </w:numPr>
        <w:pStyle w:val="Compact"/>
      </w:pPr>
      <w:r>
        <w:rPr>
          <w:bCs/>
          <w:b/>
        </w:rPr>
        <w:t xml:space="preserve">Establish a Birmingham Innovation Hub:</w:t>
      </w:r>
      <w:r>
        <w:t xml:space="preserve"> </w:t>
      </w:r>
      <w:r>
        <w:t xml:space="preserve">Co-locating with University of Birmingham to develop hyper-local ocean models for Midlands waterways, targeting 15 new enterprise clients by Q2 2025.</w:t>
      </w:r>
    </w:p>
    <w:p>
      <w:pPr>
        <w:numPr>
          <w:ilvl w:val="0"/>
          <w:numId w:val="1003"/>
        </w:numPr>
        <w:pStyle w:val="Compact"/>
      </w:pPr>
      <w:r>
        <w:rPr>
          <w:bCs/>
          <w:b/>
        </w:rPr>
        <w:t xml:space="preserve">Leverage UK Government Grants:</w:t>
      </w:r>
      <w:r>
        <w:t xml:space="preserve"> </w:t>
      </w:r>
      <w:r>
        <w:t xml:space="preserve">Applying for the "Midlands Blue Economy Accelerator Fund" (up to £500k) to subsidize Oceanographer adoption for SMEs managing river infrastructure.</w:t>
      </w:r>
    </w:p>
    <w:p>
      <w:pPr>
        <w:numPr>
          <w:ilvl w:val="0"/>
          <w:numId w:val="1003"/>
        </w:numPr>
        <w:pStyle w:val="Compact"/>
      </w:pPr>
      <w:r>
        <w:rPr>
          <w:bCs/>
          <w:b/>
        </w:rPr>
        <w:t xml:space="preserve">Expand Municipal Contracts:</w:t>
      </w:r>
      <w:r>
        <w:t xml:space="preserve"> </w:t>
      </w:r>
      <w:r>
        <w:t xml:space="preserve">Proposing a city-wide coastal resilience dashboard integrating with Birmingham City Council’s Smart City platform, targeting full rollout by Q1 2025.</w:t>
      </w:r>
    </w:p>
    <w:bookmarkEnd w:id="28"/>
    <w:bookmarkStart w:id="29" w:name="vii.-conclusion"/>
    <w:p>
      <w:pPr>
        <w:pStyle w:val="Heading2"/>
      </w:pPr>
      <w:r>
        <w:t xml:space="preserve">VII. Conclusion</w:t>
      </w:r>
    </w:p>
    <w:p>
      <w:pPr>
        <w:pStyle w:val="FirstParagraph"/>
      </w:pPr>
      <w:r>
        <w:t xml:space="preserve">This Sales Report conclusively demonstrates the Oceanographer platform's strategic importance to United Kingdom Birmingham's environmental and economic future. By solving critical challenges in coastal management through data-driven innovation, Oceanographer has moved beyond a product to become an indispensable partner for Birmingham’s sustainable development goals. The 37% YoY revenue growth in Q3 2024 validates our market entry strategy and provides a robust foundation for scaling across the wider United Kingdom. We anticipate that Oceanographer will become synonymous with intelligent ocean management in the Midlands, directly supporting the UK’s mission to achieve net-zero coastal infrastructure by 2035.</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sales.intelligence@oceanographer.global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 United Kingdom Birmingham Market</dc:title>
  <dc:creator/>
  <dc:language>en</dc:language>
  <cp:keywords/>
  <dcterms:created xsi:type="dcterms:W3CDTF">2026-07-24T04:48:45Z</dcterms:created>
  <dcterms:modified xsi:type="dcterms:W3CDTF">2026-07-24T04:48:45Z</dcterms:modified>
</cp:coreProperties>
</file>

<file path=docProps/custom.xml><?xml version="1.0" encoding="utf-8"?>
<Properties xmlns="http://schemas.openxmlformats.org/officeDocument/2006/custom-properties" xmlns:vt="http://schemas.openxmlformats.org/officeDocument/2006/docPropsVTypes"/>
</file>