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Oceanographic</w:t>
      </w:r>
      <w:r>
        <w:t xml:space="preserve"> </w:t>
      </w:r>
      <w:r>
        <w:t xml:space="preserve">Solutions</w:t>
      </w:r>
      <w:r>
        <w:t xml:space="preserve"> </w:t>
      </w:r>
      <w:r>
        <w:t xml:space="preserve">for</w:t>
      </w:r>
      <w:r>
        <w:t xml:space="preserve"> </w:t>
      </w:r>
      <w:r>
        <w:t xml:space="preserve">United</w:t>
      </w:r>
      <w:r>
        <w:t xml:space="preserve"> </w:t>
      </w:r>
      <w:r>
        <w:t xml:space="preserve">Kingdom</w:t>
      </w:r>
      <w:r>
        <w:t xml:space="preserve"> </w:t>
      </w:r>
      <w:r>
        <w:t xml:space="preserve">London</w:t>
      </w:r>
      <w:r>
        <w:t xml:space="preserve"> </w:t>
      </w:r>
      <w:r>
        <w:t xml:space="preserve">Market</w:t>
      </w:r>
    </w:p>
    <w:bookmarkStart w:id="29" w:name="X928308322501408148d245ee28c3e5bbfe7b6a0"/>
    <w:p>
      <w:pPr>
        <w:pStyle w:val="Heading1"/>
      </w:pPr>
      <w:r>
        <w:t xml:space="preserve">Quarterly Sales Report: Oceanographic Solutions for the United Kingdom London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United Kingdom Division</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The Q3 sales performance for Oceanographic Solutions Limited (OSL), a leading provider of advanced marine research and monitoring technologies based in London, demonstrates robust growth across key sectors within the United Kingdom. This report details our strategic achievements in the United Kingdom London market, highlighting how our specialized</w:t>
      </w:r>
      <w:r>
        <w:t xml:space="preserve"> </w:t>
      </w:r>
      <w:r>
        <w:rPr>
          <w:iCs/>
          <w:i/>
        </w:rPr>
        <w:t xml:space="preserve">Oceanographer</w:t>
      </w:r>
      <w:r>
        <w:t xml:space="preserve">-led services and cutting-edge equipment have driven a 22% year-on-year increase in revenue. The success underscores the growing demand for precision oceanographic data among UK stakeholders aligned with national climate resilience and marine conservation priorities.</w:t>
      </w:r>
    </w:p>
    <w:bookmarkEnd w:id="20"/>
    <w:bookmarkStart w:id="21" w:name="Xda1c8a5e96eedde1ebaebb0e6075c0fe1e88da0"/>
    <w:p>
      <w:pPr>
        <w:pStyle w:val="Heading2"/>
      </w:pPr>
      <w:r>
        <w:t xml:space="preserve">Market Context: Why Oceanography Matters to London &amp; The United Kingdom</w:t>
      </w:r>
    </w:p>
    <w:p>
      <w:pPr>
        <w:pStyle w:val="FirstParagraph"/>
      </w:pPr>
      <w:r>
        <w:t xml:space="preserve">The United Kingdom’s strategic focus on maritime security, blue economy expansion, and net-zero commitments has elevated the role of oceanographic expertise. With London serving as the financial and regulatory hub for UK marine policy—home to DEFRA (Department for Environment, Food &amp; Rural Affairs), The Crown Estate, and key institutions like the National Oceanography Centre (NOC) in Southampton—demand for actionable ocean data has surged. Our Q3 results reflect this national imperative: 68% of new contracts originated from London-based entities including government agencies, port authorities, and environmental consultancies actively implementing the UK's</w:t>
      </w:r>
      <w:r>
        <w:t xml:space="preserve"> </w:t>
      </w:r>
      <w:r>
        <w:rPr>
          <w:iCs/>
          <w:i/>
        </w:rPr>
        <w:t xml:space="preserve">Marine Strategy Framework Directive</w:t>
      </w:r>
      <w:r>
        <w:t xml:space="preserve"> </w:t>
      </w:r>
      <w:r>
        <w:t xml:space="preserve">and</w:t>
      </w:r>
      <w:r>
        <w:t xml:space="preserve"> </w:t>
      </w:r>
      <w:r>
        <w:rPr>
          <w:iCs/>
          <w:i/>
        </w:rPr>
        <w:t xml:space="preserve">25 Year Environment Plan</w:t>
      </w:r>
      <w:r>
        <w:t xml:space="preserve">.</w:t>
      </w:r>
    </w:p>
    <w:bookmarkEnd w:id="21"/>
    <w:bookmarkStart w:id="24" w:name="X580d558de6313c3ca19e2fcbd536bbfa4645438"/>
    <w:p>
      <w:pPr>
        <w:pStyle w:val="Heading2"/>
      </w:pPr>
      <w:r>
        <w:t xml:space="preserve">Sales Performance Highlights (London Focus)</w:t>
      </w:r>
    </w:p>
    <w:bookmarkStart w:id="22" w:name="growth-in-core-product-lines"/>
    <w:p>
      <w:pPr>
        <w:pStyle w:val="Heading3"/>
      </w:pPr>
      <w:r>
        <w:t xml:space="preserve">Growth in Core Product Lines</w:t>
      </w:r>
    </w:p>
    <w:p>
      <w:pPr>
        <w:numPr>
          <w:ilvl w:val="0"/>
          <w:numId w:val="1001"/>
        </w:numPr>
        <w:pStyle w:val="Compact"/>
      </w:pPr>
      <w:r>
        <w:rPr>
          <w:bCs/>
          <w:b/>
        </w:rPr>
        <w:t xml:space="preserve">AUV &amp; ROV Technology Sales:</w:t>
      </w:r>
      <w:r>
        <w:t xml:space="preserve"> </w:t>
      </w:r>
      <w:r>
        <w:t xml:space="preserve">41% YoY increase. London’s Port of London Authority contracted for 5 autonomous underwater vehicles (AUVs) to monitor sediment dynamics in the Thames Estuary, supporting dredging projects under UK Maritime Security Strategy guidelines.</w:t>
      </w:r>
    </w:p>
    <w:p>
      <w:pPr>
        <w:numPr>
          <w:ilvl w:val="0"/>
          <w:numId w:val="1001"/>
        </w:numPr>
        <w:pStyle w:val="Compact"/>
      </w:pPr>
      <w:r>
        <w:rPr>
          <w:bCs/>
          <w:b/>
        </w:rPr>
        <w:t xml:space="preserve">Satellite &amp; Sensor Data Packages:</w:t>
      </w:r>
      <w:r>
        <w:t xml:space="preserve"> </w:t>
      </w:r>
      <w:r>
        <w:t xml:space="preserve">37% YoY growth. Key clients include Marine Management Organisation (MMO) and Ocean Climate Institute, leveraging real-time sea-surface temperature and salinity data from our London-hosted data hub for climate modeling.</w:t>
      </w:r>
    </w:p>
    <w:p>
      <w:pPr>
        <w:numPr>
          <w:ilvl w:val="0"/>
          <w:numId w:val="1001"/>
        </w:numPr>
        <w:pStyle w:val="Compact"/>
      </w:pPr>
      <w:r>
        <w:rPr>
          <w:bCs/>
          <w:b/>
        </w:rPr>
        <w:t xml:space="preserve">Consulting Services:</w:t>
      </w:r>
      <w:r>
        <w:t xml:space="preserve"> </w:t>
      </w:r>
      <w:r>
        <w:t xml:space="preserve">28% YoY rise. The United Kingdom government commissioned our team of lead</w:t>
      </w:r>
      <w:r>
        <w:t xml:space="preserve"> </w:t>
      </w:r>
      <w:r>
        <w:rPr>
          <w:iCs/>
          <w:i/>
        </w:rPr>
        <w:t xml:space="preserve">Oceanographer</w:t>
      </w:r>
      <w:r>
        <w:t xml:space="preserve">s to develop a biodiversity assessment framework for the newly established North Sea Marine Protected Areas (MPAs).</w:t>
      </w:r>
    </w:p>
    <w:bookmarkEnd w:id="22"/>
    <w:bookmarkStart w:id="23" w:name="X992782b7518d92ff1de8ae1b979c597ff52b63b"/>
    <w:p>
      <w:pPr>
        <w:pStyle w:val="Heading3"/>
      </w:pPr>
      <w:r>
        <w:t xml:space="preserve">London-Specific Achievement: Strategic Partnerships</w:t>
      </w:r>
    </w:p>
    <w:p>
      <w:pPr>
        <w:pStyle w:val="FirstParagraph"/>
      </w:pPr>
      <w:r>
        <w:t xml:space="preserve">OSL’s Q3 success was accelerated by three pivotal London-based partnerships:</w:t>
      </w:r>
    </w:p>
    <w:p>
      <w:pPr>
        <w:numPr>
          <w:ilvl w:val="0"/>
          <w:numId w:val="1002"/>
        </w:numPr>
        <w:pStyle w:val="Compact"/>
      </w:pPr>
      <w:r>
        <w:rPr>
          <w:iCs/>
          <w:i/>
        </w:rPr>
        <w:t xml:space="preserve">Lloyd's Register &amp; The London Oceanographic Consortium:</w:t>
      </w:r>
      <w:r>
        <w:t xml:space="preserve"> </w:t>
      </w:r>
      <w:r>
        <w:t xml:space="preserve">Co-developed a risk-assessment tool for offshore wind farms, securing £2.1M in contracts with major UK energy firms.</w:t>
      </w:r>
    </w:p>
    <w:p>
      <w:pPr>
        <w:numPr>
          <w:ilvl w:val="0"/>
          <w:numId w:val="1002"/>
        </w:numPr>
        <w:pStyle w:val="Compact"/>
      </w:pPr>
      <w:r>
        <w:rPr>
          <w:iCs/>
          <w:i/>
        </w:rPr>
        <w:t xml:space="preserve">University College London (UCL) Marine Institute:</w:t>
      </w:r>
      <w:r>
        <w:t xml:space="preserve"> </w:t>
      </w:r>
      <w:r>
        <w:t xml:space="preserve">Collaborated on an AI-driven plankton analysis platform, generating £1.4M in joint R&amp;D funding from Innovate UK.</w:t>
      </w:r>
    </w:p>
    <w:p>
      <w:pPr>
        <w:numPr>
          <w:ilvl w:val="0"/>
          <w:numId w:val="1002"/>
        </w:numPr>
        <w:pStyle w:val="Compact"/>
      </w:pPr>
      <w:r>
        <w:rPr>
          <w:iCs/>
          <w:i/>
        </w:rPr>
        <w:t xml:space="preserve">Greater London Authority (GLA):</w:t>
      </w:r>
      <w:r>
        <w:t xml:space="preserve"> </w:t>
      </w:r>
      <w:r>
        <w:t xml:space="preserve">Deployed our coastal erosion monitoring system across 12 Thames River estuary sites, contributing to GLA’s "Resilient Coastlines" initiative.</w:t>
      </w:r>
    </w:p>
    <w:bookmarkEnd w:id="23"/>
    <w:bookmarkEnd w:id="24"/>
    <w:bookmarkStart w:id="25" w:name="Xdb7395710fde4d63f575c6bcb3efb2601e2f62c"/>
    <w:p>
      <w:pPr>
        <w:pStyle w:val="Heading2"/>
      </w:pPr>
      <w:r>
        <w:t xml:space="preserve">The Role of Expert Oceanographers in Driving Sales</w:t>
      </w:r>
    </w:p>
    <w:p>
      <w:pPr>
        <w:pStyle w:val="FirstParagraph"/>
      </w:pPr>
      <w:r>
        <w:t xml:space="preserve">Our sales differentiation lies not just in technology, but in the unparalleled expertise of our London-based team. Each client engagement is guided by a senior</w:t>
      </w:r>
      <w:r>
        <w:t xml:space="preserve"> </w:t>
      </w:r>
      <w:r>
        <w:rPr>
          <w:iCs/>
          <w:i/>
        </w:rPr>
        <w:t xml:space="preserve">Oceanographer</w:t>
      </w:r>
      <w:r>
        <w:t xml:space="preserve">, ensuring solutions align with UK-specific marine challenges:</w:t>
      </w:r>
    </w:p>
    <w:p>
      <w:pPr>
        <w:numPr>
          <w:ilvl w:val="0"/>
          <w:numId w:val="1003"/>
        </w:numPr>
        <w:pStyle w:val="Compact"/>
      </w:pPr>
      <w:r>
        <w:rPr>
          <w:bCs/>
          <w:b/>
        </w:rPr>
        <w:t xml:space="preserve">Dr. Eleanor Shaw (Senior Oceanographer &amp; Sales Lead):</w:t>
      </w:r>
      <w:r>
        <w:t xml:space="preserve"> </w:t>
      </w:r>
      <w:r>
        <w:t xml:space="preserve">Secured the £3.2M contract with DEFRA for Thames Estuary pollution tracking, leveraging her 15 years of UK regulatory experience.</w:t>
      </w:r>
    </w:p>
    <w:p>
      <w:pPr>
        <w:numPr>
          <w:ilvl w:val="0"/>
          <w:numId w:val="1003"/>
        </w:numPr>
        <w:pStyle w:val="Compact"/>
      </w:pPr>
      <w:r>
        <w:rPr>
          <w:bCs/>
          <w:b/>
        </w:rPr>
        <w:t xml:space="preserve">Prof. Marcus Chen (Lead Data Scientist):</w:t>
      </w:r>
      <w:r>
        <w:t xml:space="preserve"> </w:t>
      </w:r>
      <w:r>
        <w:t xml:space="preserve">Designed the AI model for UCL’s plankton project, directly addressing UK government priorities outlined in the 2023 Ocean Strategy White Paper.</w:t>
      </w:r>
    </w:p>
    <w:p>
      <w:pPr>
        <w:numPr>
          <w:ilvl w:val="0"/>
          <w:numId w:val="1003"/>
        </w:numPr>
        <w:pStyle w:val="Compact"/>
      </w:pPr>
      <w:r>
        <w:rPr>
          <w:iCs/>
          <w:i/>
        </w:rPr>
        <w:t xml:space="preserve">All field deployments</w:t>
      </w:r>
      <w:r>
        <w:t xml:space="preserve"> </w:t>
      </w:r>
      <w:r>
        <w:t xml:space="preserve">are managed by OSL’s London-based marine operations team, including certified</w:t>
      </w:r>
      <w:r>
        <w:t xml:space="preserve"> </w:t>
      </w:r>
      <w:r>
        <w:rPr>
          <w:iCs/>
          <w:i/>
        </w:rPr>
        <w:t xml:space="preserve">Oceanographer</w:t>
      </w:r>
      <w:r>
        <w:t xml:space="preserve">s accredited by the Institute of Marine Engineering, Science &amp; Technology (IMarEST).</w:t>
      </w:r>
    </w:p>
    <w:p>
      <w:pPr>
        <w:pStyle w:val="FirstParagraph"/>
      </w:pPr>
      <w:r>
        <w:t xml:space="preserve">This deep expertise translated into a 92% client retention rate in London—far above the industry average of 78%—as clients trusted our technical authority to navigate complex UK marine policy landscapes.</w:t>
      </w:r>
    </w:p>
    <w:bookmarkEnd w:id="25"/>
    <w:bookmarkStart w:id="26" w:name="challenges-strategic-responses"/>
    <w:p>
      <w:pPr>
        <w:pStyle w:val="Heading2"/>
      </w:pPr>
      <w:r>
        <w:t xml:space="preserve">Challenges &amp; Strategic Responses</w:t>
      </w:r>
    </w:p>
    <w:p>
      <w:pPr>
        <w:pStyle w:val="FirstParagraph"/>
      </w:pPr>
      <w:r>
        <w:t xml:space="preserve">While demand soared, supply chain constraints impacted delivery timelines for specialized sensors. OSL responded by:</w:t>
      </w:r>
    </w:p>
    <w:p>
      <w:pPr>
        <w:numPr>
          <w:ilvl w:val="0"/>
          <w:numId w:val="1004"/>
        </w:numPr>
        <w:pStyle w:val="Compact"/>
      </w:pPr>
      <w:r>
        <w:t xml:space="preserve">Partnering with London-based manufacturer</w:t>
      </w:r>
      <w:r>
        <w:t xml:space="preserve"> </w:t>
      </w:r>
      <w:r>
        <w:rPr>
          <w:iCs/>
          <w:i/>
        </w:rPr>
        <w:t xml:space="preserve">Cygnus Technologies</w:t>
      </w:r>
      <w:r>
        <w:t xml:space="preserve"> </w:t>
      </w:r>
      <w:r>
        <w:t xml:space="preserve">to localize sensor production, reducing lead times by 35%.</w:t>
      </w:r>
    </w:p>
    <w:p>
      <w:pPr>
        <w:numPr>
          <w:ilvl w:val="0"/>
          <w:numId w:val="1004"/>
        </w:numPr>
        <w:pStyle w:val="Compact"/>
      </w:pPr>
      <w:r>
        <w:t xml:space="preserve">Launching a London-based "Rapid Response Unit" of field technicians and oceanographers to deploy solutions within 72 hours of contract signing—critical for emergency coastal monitoring under UK Emergency Preparedness Frameworks.</w:t>
      </w:r>
    </w:p>
    <w:bookmarkEnd w:id="26"/>
    <w:bookmarkStart w:id="27" w:name="Xea786bae0bc4475f2ef887f0543189a40b6c122"/>
    <w:p>
      <w:pPr>
        <w:pStyle w:val="Heading2"/>
      </w:pPr>
      <w:r>
        <w:t xml:space="preserve">Q4 Forecast &amp; United Kingdom Market Outlook</w:t>
      </w:r>
    </w:p>
    <w:p>
      <w:pPr>
        <w:pStyle w:val="FirstParagraph"/>
      </w:pPr>
      <w:r>
        <w:t xml:space="preserve">Based on current pipeline, OSL anticipates a 15-18% revenue increase in Q4 2023. Key drivers include:</w:t>
      </w:r>
    </w:p>
    <w:p>
      <w:pPr>
        <w:numPr>
          <w:ilvl w:val="0"/>
          <w:numId w:val="1005"/>
        </w:numPr>
        <w:pStyle w:val="Compact"/>
      </w:pPr>
      <w:r>
        <w:t xml:space="preserve">The UK government’s £500M investment in ocean monitoring under the</w:t>
      </w:r>
      <w:r>
        <w:t xml:space="preserve"> </w:t>
      </w:r>
      <w:r>
        <w:rPr>
          <w:iCs/>
          <w:i/>
        </w:rPr>
        <w:t xml:space="preserve">Blue Growth Strategy</w:t>
      </w:r>
      <w:r>
        <w:t xml:space="preserve">, with London as the primary implementation hub.</w:t>
      </w:r>
    </w:p>
    <w:p>
      <w:pPr>
        <w:numPr>
          <w:ilvl w:val="0"/>
          <w:numId w:val="1005"/>
        </w:numPr>
        <w:pStyle w:val="Compact"/>
      </w:pPr>
      <w:r>
        <w:t xml:space="preserve">Accelerating demand from London’s expanding marine renewable sector (e.g., floating offshore wind farms in the Thames Estuary).</w:t>
      </w:r>
    </w:p>
    <w:p>
      <w:pPr>
        <w:numPr>
          <w:ilvl w:val="0"/>
          <w:numId w:val="1005"/>
        </w:numPr>
        <w:pStyle w:val="Compact"/>
      </w:pPr>
      <w:r>
        <w:t xml:space="preserve">New regulatory requirements for coastal developers under the UK Marine Planning Act, mandating oceanographic baseline studies.</w:t>
      </w:r>
    </w:p>
    <w:p>
      <w:pPr>
        <w:pStyle w:val="FirstParagraph"/>
      </w:pPr>
      <w:r>
        <w:t xml:space="preserve">We project 40% of Q4 sales will originate from London-based clients—consolidating our position as the go-to partner for oceanographic solutions in the United Kingdom capital.</w:t>
      </w:r>
    </w:p>
    <w:bookmarkEnd w:id="27"/>
    <w:bookmarkStart w:id="28" w:name="X12273ecceed4ecea9515782f80a7de2ea20db43"/>
    <w:p>
      <w:pPr>
        <w:pStyle w:val="Heading2"/>
      </w:pPr>
      <w:r>
        <w:t xml:space="preserve">Conclusion: Oceanography as a Strategic Asset in the UK Market</w:t>
      </w:r>
    </w:p>
    <w:p>
      <w:pPr>
        <w:pStyle w:val="FirstParagraph"/>
      </w:pPr>
      <w:r>
        <w:t xml:space="preserve">The Q3 performance underscores that oceanographic expertise is no longer a niche service but a strategic necessity for UK stakeholders. As London remains at the epicenter of marine policy, investment, and innovation, OSL’s focus on delivering data-driven solutions led by highly credentialed</w:t>
      </w:r>
      <w:r>
        <w:t xml:space="preserve"> </w:t>
      </w:r>
      <w:r>
        <w:rPr>
          <w:iCs/>
          <w:i/>
        </w:rPr>
        <w:t xml:space="preserve">Oceanographer</w:t>
      </w:r>
      <w:r>
        <w:t xml:space="preserve">s has positioned us uniquely in the market. Our ability to translate complex ocean science into actionable commercial and regulatory outcomes—specifically for the United Kingdom London ecosystem—has driven sustainable growth. Moving forward, we will deepen partnerships with UK governmental bodies and London’s marine clusters to further cement our leadership in this critical sector.</w:t>
      </w:r>
    </w:p>
    <w:p>
      <w:pPr>
        <w:pStyle w:val="BodyText"/>
      </w:pPr>
      <w:r>
        <w:rPr>
          <w:bCs/>
          <w:b/>
        </w:rPr>
        <w:t xml:space="preserve">Prepared By:</w:t>
      </w:r>
      <w:r>
        <w:t xml:space="preserve"> </w:t>
      </w:r>
      <w:r>
        <w:t xml:space="preserve">Sales Strategy Division, Oceanographic Solutions Limited</w:t>
      </w:r>
      <w:r>
        <w:br/>
      </w:r>
      <w:r>
        <w:rPr>
          <w:bCs/>
          <w:b/>
        </w:rPr>
        <w:t xml:space="preserve">Contact:</w:t>
      </w:r>
      <w:r>
        <w:t xml:space="preserve"> </w:t>
      </w:r>
      <w:r>
        <w:t xml:space="preserve">sales.uk@oceanographicsolutions.co.uk | +44 20 7946 3200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Oceanographic Solutions for United Kingdom London Market</dc:title>
  <dc:creator/>
  <dc:language>en</dc:language>
  <cp:keywords/>
  <dcterms:created xsi:type="dcterms:W3CDTF">2026-07-24T19:08:15Z</dcterms:created>
  <dcterms:modified xsi:type="dcterms:W3CDTF">2026-07-24T19:08:15Z</dcterms:modified>
</cp:coreProperties>
</file>

<file path=docProps/custom.xml><?xml version="1.0" encoding="utf-8"?>
<Properties xmlns="http://schemas.openxmlformats.org/officeDocument/2006/custom-properties" xmlns:vt="http://schemas.openxmlformats.org/officeDocument/2006/docPropsVTypes"/>
</file>