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Miami</w:t>
      </w:r>
      <w:r>
        <w:t xml:space="preserve"> </w:t>
      </w:r>
      <w:r>
        <w:t xml:space="preserve">Oceanographer</w:t>
      </w:r>
      <w:r>
        <w:t xml:space="preserve"> </w:t>
      </w:r>
      <w:r>
        <w:t xml:space="preserve">Sales</w:t>
      </w:r>
      <w:r>
        <w:t xml:space="preserve"> </w:t>
      </w:r>
      <w:r>
        <w:t xml:space="preserve">Report</w:t>
      </w:r>
    </w:p>
    <w:bookmarkStart w:id="27" w:name="Xd0509a78d06015b2790ce85119359cb8bc11205"/>
    <w:p>
      <w:pPr>
        <w:pStyle w:val="Heading1"/>
      </w:pPr>
      <w:r>
        <w:t xml:space="preserve">Sales Report: Oceanographer Solutions LLC - United States Miami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Oceanographer Solutions LLC</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Oceanographer Solutions LLC within the United States Miami market during Q3 2023. The report demonstrates a significant growth trajectory driven by strategic alignment with Miami's unique marine ecosystem challenges and climate resilience priorities. Oceanographer Solutions, a leading provider of advanced oceanographic data services and environmental consulting, achieved a record-breaking 22% year-over-year sales increase in Miami, securing $1.85M in new contracts. This success underscores the critical demand for specialized oceanographic expertise in one of the United States' most climate-vulnerable coastal cities.</w:t>
      </w:r>
    </w:p>
    <w:bookmarkEnd w:id="20"/>
    <w:bookmarkStart w:id="21" w:name="X9676930b71861d3a0a1835107ae7f0c1cf7ec68"/>
    <w:p>
      <w:pPr>
        <w:pStyle w:val="Heading2"/>
      </w:pPr>
      <w:r>
        <w:t xml:space="preserve">II. Miami Market Context &amp; Strategic Positioning</w:t>
      </w:r>
    </w:p>
    <w:p>
      <w:pPr>
        <w:pStyle w:val="FirstParagraph"/>
      </w:pPr>
      <w:r>
        <w:t xml:space="preserve">United States Miami presents a uniquely compelling market for Oceanographer Solutions due to its position at the epicenter of climate change impacts. As the largest city in South Florida, Miami faces unprecedented challenges including sea-level rise (projected 10-12 inches by 2050), coral reef degradation (70% loss since 1970 in Florida Reef Tract), and increased hurricane intensity. The Miami-Dade County Climate Resilience Plan explicitly prioritizes oceanographic data integration, creating a fertile market for specialized services. Oceanographer Solutions has positioned itself as the premier provider of hyperlocal oceanographic intelligence, directly addressing these critical needs.</w:t>
      </w:r>
    </w:p>
    <w:p>
      <w:pPr>
        <w:pStyle w:val="BodyText"/>
      </w:pPr>
      <w:r>
        <w:t xml:space="preserve">Our sales strategy in United States Miami focuses on three pillars: (1) Hurricane impact forecasting and mitigation planning for municipal infrastructure; (2) Coral reef health monitoring and restoration support for entities like the Florida Fish &amp; Wildlife Conservation Commission; and (3) Coastal development compliance services meeting Miami-Dade's strict environmental regulations. This targeted approach has resonated deeply with key decision-makers in local government, tourism authorities, and marine conservation non-profits.</w:t>
      </w:r>
    </w:p>
    <w:bookmarkEnd w:id="21"/>
    <w:bookmarkStart w:id="22" w:name="X42e96c88aa22dba7b6164d62d58bb4a88db297e"/>
    <w:p>
      <w:pPr>
        <w:pStyle w:val="Heading2"/>
      </w:pPr>
      <w:r>
        <w:t xml:space="preserve">III. Key Sales Performance Metrics: United States Miami</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 Line</w:t>
            </w:r>
          </w:p>
        </w:tc>
        <w:tc>
          <w:tcPr/>
          <w:p>
            <w:pPr>
              <w:pStyle w:val="Compact"/>
              <w:jc w:val="left"/>
            </w:pPr>
            <w:r>
              <w:t xml:space="preserve">Q3 2023 Revenue (Miami)</w:t>
            </w:r>
          </w:p>
        </w:tc>
        <w:tc>
          <w:tcPr/>
          <w:p>
            <w:pPr>
              <w:pStyle w:val="Compact"/>
              <w:jc w:val="left"/>
            </w:pPr>
            <w:r>
              <w:t xml:space="preserve">YoY Change</w:t>
            </w:r>
          </w:p>
        </w:tc>
        <w:tc>
          <w:tcPr/>
          <w:p>
            <w:pPr>
              <w:pStyle w:val="Compact"/>
              <w:jc w:val="left"/>
            </w:pPr>
            <w:r>
              <w:t xml:space="preserve">Key Clients Acquired</w:t>
            </w:r>
          </w:p>
        </w:tc>
        <w:tc>
          <w:tcPr/>
          <w:p>
            <w:pPr>
              <w:pStyle w:val="Compact"/>
            </w:pPr>
          </w:p>
        </w:tc>
      </w:tr>
      <w:tr>
        <w:tc>
          <w:tcPr/>
          <w:p>
            <w:pPr>
              <w:pStyle w:val="Compact"/>
              <w:jc w:val="left"/>
            </w:pPr>
            <w:r>
              <w:rPr>
                <w:bCs/>
                <w:b/>
              </w:rPr>
              <w:t xml:space="preserve">Coral Reef Health Monitoring Suite</w:t>
            </w:r>
          </w:p>
        </w:tc>
        <w:tc>
          <w:tcPr/>
          <w:p>
            <w:pPr>
              <w:pStyle w:val="Compact"/>
              <w:jc w:val="left"/>
            </w:pPr>
            <w:r>
              <w:t xml:space="preserve">$625,000</w:t>
            </w:r>
          </w:p>
        </w:tc>
        <w:tc>
          <w:tcPr/>
          <w:p>
            <w:pPr>
              <w:pStyle w:val="Compact"/>
              <w:jc w:val="left"/>
            </w:pPr>
            <w:r>
              <w:t xml:space="preserve">+38%</w:t>
            </w:r>
          </w:p>
        </w:tc>
        <w:tc>
          <w:tcPr/>
          <w:p>
            <w:pPr>
              <w:pStyle w:val="Compact"/>
              <w:jc w:val="left"/>
            </w:pPr>
            <w:r>
              <w:t xml:space="preserve">NOAA Miami Office, Biscayne National Park Foundation</w:t>
            </w:r>
          </w:p>
        </w:tc>
        <w:tc>
          <w:tcPr/>
          <w:p>
            <w:pPr>
              <w:pStyle w:val="Compact"/>
            </w:pPr>
          </w:p>
        </w:tc>
      </w:tr>
      <w:tr>
        <w:tc>
          <w:tcPr/>
          <w:p>
            <w:pPr>
              <w:pStyle w:val="Compact"/>
              <w:jc w:val="left"/>
            </w:pPr>
            <w:r>
              <w:rPr>
                <w:bCs/>
                <w:b/>
              </w:rPr>
              <w:t xml:space="preserve">Coastal Infrastructure Resilience Assessment</w:t>
            </w:r>
          </w:p>
        </w:tc>
        <w:tc>
          <w:tcPr/>
          <w:p>
            <w:pPr>
              <w:pStyle w:val="Compact"/>
              <w:jc w:val="left"/>
            </w:pPr>
            <w:r>
              <w:t xml:space="preserve">$575,000</w:t>
            </w:r>
          </w:p>
        </w:tc>
        <w:tc>
          <w:tcPr/>
          <w:p>
            <w:pPr>
              <w:pStyle w:val="Compact"/>
              <w:jc w:val="left"/>
            </w:pPr>
            <w:r>
              <w:t xml:space="preserve">+28%</w:t>
            </w:r>
          </w:p>
        </w:tc>
        <w:tc>
          <w:tcPr/>
          <w:p>
            <w:pPr>
              <w:pStyle w:val="Compact"/>
              <w:jc w:val="left"/>
            </w:pPr>
            <w:r>
              <w:t xml:space="preserve">Miami-Dade County Department of Environmental Resources Management, PortMiami</w:t>
            </w:r>
          </w:p>
        </w:tc>
        <w:tc>
          <w:tcPr/>
          <w:p>
            <w:pPr>
              <w:pStyle w:val="Compact"/>
            </w:pPr>
          </w:p>
        </w:tc>
      </w:tr>
      <w:tr>
        <w:tc>
          <w:tcPr/>
          <w:p>
            <w:pPr>
              <w:pStyle w:val="Compact"/>
              <w:jc w:val="left"/>
            </w:pPr>
            <w:r>
              <w:rPr>
                <w:bCs/>
                <w:b/>
              </w:rPr>
              <w:t xml:space="preserve">Climate Adaptation Consulting (Hurricane Focus)</w:t>
            </w:r>
          </w:p>
        </w:tc>
        <w:tc>
          <w:tcPr/>
          <w:p>
            <w:pPr>
              <w:pStyle w:val="Compact"/>
              <w:jc w:val="left"/>
            </w:pPr>
            <w:r>
              <w:t xml:space="preserve">$450,000</w:t>
            </w:r>
          </w:p>
        </w:tc>
        <w:tc>
          <w:tcPr/>
          <w:p>
            <w:pPr>
              <w:pStyle w:val="Compact"/>
              <w:jc w:val="left"/>
            </w:pPr>
            <w:r>
              <w:t xml:space="preserve">+19%</w:t>
            </w:r>
          </w:p>
        </w:tc>
        <w:tc>
          <w:tcPr/>
          <w:p>
            <w:pPr>
              <w:pStyle w:val="Compact"/>
              <w:jc w:val="left"/>
            </w:pPr>
            <w:r>
              <w:t xml:space="preserve">Miami Beach Urban Sustainability Program, Greater Miami Chamber of Commerce</w:t>
            </w:r>
          </w:p>
        </w:tc>
        <w:tc>
          <w:tcPr/>
          <w:p>
            <w:pPr>
              <w:pStyle w:val="Compact"/>
            </w:pPr>
          </w:p>
        </w:tc>
      </w:tr>
      <w:tr>
        <w:tc>
          <w:tcPr/>
          <w:p>
            <w:pPr>
              <w:pStyle w:val="Compact"/>
              <w:jc w:val="left"/>
            </w:pPr>
            <w:r>
              <w:rPr>
                <w:bCs/>
                <w:b/>
              </w:rPr>
              <w:t xml:space="preserve">Total Q3 Miami Revenue</w:t>
            </w:r>
          </w:p>
        </w:tc>
        <w:tc>
          <w:tcPr/>
          <w:p>
            <w:pPr>
              <w:pStyle w:val="Compact"/>
              <w:jc w:val="left"/>
            </w:pPr>
            <w:r>
              <w:rPr>
                <w:bCs/>
                <w:b/>
              </w:rPr>
              <w:t xml:space="preserve">$1,650,000</w:t>
            </w:r>
          </w:p>
        </w:tc>
        <w:tc>
          <w:tcPr/>
          <w:p>
            <w:pPr>
              <w:pStyle w:val="Compact"/>
              <w:jc w:val="left"/>
            </w:pPr>
            <w:r>
              <w:rPr>
                <w:bCs/>
                <w:b/>
              </w:rPr>
              <w:t xml:space="preserve">+22%</w:t>
            </w:r>
          </w:p>
        </w:tc>
        <w:tc>
          <w:tcPr>
            <w:gridSpan w:val="2"/>
          </w:tcPr>
          <w:p>
            <w:pPr>
              <w:pStyle w:val="Compact"/>
              <w:jc w:val="left"/>
            </w:pPr>
            <w:r>
              <w:rPr>
                <w:iCs/>
                <w:i/>
              </w:rPr>
              <w:t xml:space="preserve">Exceeding Q3 Target by 17%</w:t>
            </w:r>
          </w:p>
        </w:tc>
      </w:tr>
    </w:tbl>
    <w:bookmarkEnd w:id="22"/>
    <w:bookmarkStart w:id="23" w:name="iv.-miami-specific-sales-drivers"/>
    <w:p>
      <w:pPr>
        <w:pStyle w:val="Heading2"/>
      </w:pPr>
      <w:r>
        <w:t xml:space="preserve">IV. Miami-Specific Sales Drivers</w:t>
      </w:r>
    </w:p>
    <w:p>
      <w:pPr>
        <w:pStyle w:val="FirstParagraph"/>
      </w:pPr>
      <w:r>
        <w:t xml:space="preserve">The exceptional performance in United States Miami is attributed to several market-specific factors:</w:t>
      </w:r>
    </w:p>
    <w:p>
      <w:pPr>
        <w:numPr>
          <w:ilvl w:val="0"/>
          <w:numId w:val="1001"/>
        </w:numPr>
        <w:pStyle w:val="Compact"/>
      </w:pPr>
      <w:r>
        <w:rPr>
          <w:bCs/>
          <w:b/>
        </w:rPr>
        <w:t xml:space="preserve">Regulatory Alignment:</w:t>
      </w:r>
      <w:r>
        <w:t xml:space="preserve"> </w:t>
      </w:r>
      <w:r>
        <w:t xml:space="preserve">Oceanographer Solutions' services directly support Miami-Dade's "Building a Climate-Resilient City" initiative, which mandates advanced oceanographic data for all coastal development projects. Our integrated reporting system meets the specific requirements of the Florida Department of Environmental Protection (FDEP) and Miami-Dade’s Office of Resilience.</w:t>
      </w:r>
    </w:p>
    <w:p>
      <w:pPr>
        <w:numPr>
          <w:ilvl w:val="0"/>
          <w:numId w:val="1001"/>
        </w:numPr>
        <w:pStyle w:val="Compact"/>
      </w:pPr>
      <w:r>
        <w:rPr>
          <w:bCs/>
          <w:b/>
        </w:rPr>
        <w:t xml:space="preserve">Local Expertise:</w:t>
      </w:r>
      <w:r>
        <w:t xml:space="preserve"> </w:t>
      </w:r>
      <w:r>
        <w:t xml:space="preserve">The Miami sales team, led by Principal Oceanographer Dr. Elena Torres (a native Miamian with 15 years specializing in Caribbean coral ecosystems), leveraged deep community relationships. This local credibility was pivotal in securing contracts with historically hard-to-access entities like the City of Miami Beach Engineering Department.</w:t>
      </w:r>
    </w:p>
    <w:p>
      <w:pPr>
        <w:numPr>
          <w:ilvl w:val="0"/>
          <w:numId w:val="1001"/>
        </w:numPr>
        <w:pStyle w:val="Compact"/>
      </w:pPr>
      <w:r>
        <w:rPr>
          <w:bCs/>
          <w:b/>
        </w:rPr>
        <w:t xml:space="preserve">Climate Urgency:</w:t>
      </w:r>
      <w:r>
        <w:t xml:space="preserve"> </w:t>
      </w:r>
      <w:r>
        <w:t xml:space="preserve">The accelerating degradation of South Florida's reefs following the 2023 mass bleaching event created immediate demand. Oceanographer Solutions' rapid-response monitoring services were contracted by three major tourism operators within 72 hours of a coral distress alert, demonstrating our operational agility.</w:t>
      </w:r>
    </w:p>
    <w:p>
      <w:pPr>
        <w:numPr>
          <w:ilvl w:val="0"/>
          <w:numId w:val="1001"/>
        </w:numPr>
        <w:pStyle w:val="Compact"/>
      </w:pPr>
      <w:r>
        <w:rPr>
          <w:bCs/>
          <w:b/>
        </w:rPr>
        <w:t xml:space="preserve">Tourism Sector Integration:</w:t>
      </w:r>
      <w:r>
        <w:t xml:space="preserve"> </w:t>
      </w:r>
      <w:r>
        <w:t xml:space="preserve">Miami’s $50B+ tourism industry has prioritized sustainable practices. Our "Reef-Resilient Tourism Certification" program, co-developed with the Greater Miami &amp; MDP Chamber of Commerce, generated $210,000 in Q3 revenue from 12 beachfront resorts.</w:t>
      </w:r>
    </w:p>
    <w:bookmarkEnd w:id="23"/>
    <w:bookmarkStart w:id="24" w:name="v.-competitive-landscape-analysis"/>
    <w:p>
      <w:pPr>
        <w:pStyle w:val="Heading2"/>
      </w:pPr>
      <w:r>
        <w:t xml:space="preserve">V. Competitive Landscape Analysis</w:t>
      </w:r>
    </w:p>
    <w:p>
      <w:pPr>
        <w:pStyle w:val="FirstParagraph"/>
      </w:pPr>
      <w:r>
        <w:t xml:space="preserve">While national environmental consultancies attempted to penetrate the Miami market, Oceanographer Solutions' niche expertise proved decisive. Competitors offered generic coastal analysis but lacked specialized oceanographic data streams critical for Miami’s specific challenges (e.g., high-frequency salinity monitoring in Biscayne Bay, microplastic dispersion modeling near PortMiami). Our proprietary AI-driven platform "AquaSight" provided real-time, location-specific data that competitors could not replicate at scale. In a key Q3 bid for the Miami Beach Sea Level Rise Action Plan, Oceanographer Solutions outperformed two larger firms by delivering predictive models 40% more accurate for local conditions.</w:t>
      </w:r>
    </w:p>
    <w:bookmarkEnd w:id="24"/>
    <w:bookmarkStart w:id="25" w:name="X6e031b4e09b35aa2dc2c3dd6e5a1bdbad6434fe"/>
    <w:p>
      <w:pPr>
        <w:pStyle w:val="Heading2"/>
      </w:pPr>
      <w:r>
        <w:t xml:space="preserve">VI. Future Outlook &amp; Strategic Recommendations</w:t>
      </w:r>
    </w:p>
    <w:p>
      <w:pPr>
        <w:pStyle w:val="FirstParagraph"/>
      </w:pPr>
      <w:r>
        <w:t xml:space="preserve">The United States Miami market represents a $120M+ annual opportunity for specialized oceanographic services, growing at 18% CAGR. For the upcoming Q4 and 2024, Oceanographer Solutions must:</w:t>
      </w:r>
    </w:p>
    <w:p>
      <w:pPr>
        <w:numPr>
          <w:ilvl w:val="0"/>
          <w:numId w:val="1002"/>
        </w:numPr>
        <w:pStyle w:val="Compact"/>
      </w:pPr>
      <w:r>
        <w:rPr>
          <w:bCs/>
          <w:b/>
        </w:rPr>
        <w:t xml:space="preserve">Double Down on Miami Partnerships:</w:t>
      </w:r>
      <w:r>
        <w:t xml:space="preserve"> </w:t>
      </w:r>
      <w:r>
        <w:t xml:space="preserve">Formalize a joint venture with the University of Miami's Rosenstiel School of Marine Science for enhanced research integration, directly supporting our sales positioning.</w:t>
      </w:r>
    </w:p>
    <w:p>
      <w:pPr>
        <w:numPr>
          <w:ilvl w:val="0"/>
          <w:numId w:val="1002"/>
        </w:numPr>
        <w:pStyle w:val="Compact"/>
      </w:pPr>
      <w:r>
        <w:rPr>
          <w:bCs/>
          <w:b/>
        </w:rPr>
        <w:t xml:space="preserve">Expand Coral Restoration Services:</w:t>
      </w:r>
      <w:r>
        <w:t xml:space="preserve"> </w:t>
      </w:r>
      <w:r>
        <w:t xml:space="preserve">Develop a scalable "Reef Repair Package" targeting commercial clients (hotels, dive operators) seeking verified restoration commitments – projected $350K Q4 revenue.</w:t>
      </w:r>
    </w:p>
    <w:p>
      <w:pPr>
        <w:numPr>
          <w:ilvl w:val="0"/>
          <w:numId w:val="1002"/>
        </w:numPr>
        <w:pStyle w:val="Compact"/>
      </w:pPr>
      <w:r>
        <w:rPr>
          <w:bCs/>
          <w:b/>
        </w:rPr>
        <w:t xml:space="preserve">Leverage Federal Grants:</w:t>
      </w:r>
      <w:r>
        <w:t xml:space="preserve"> </w:t>
      </w:r>
      <w:r>
        <w:t xml:space="preserve">Capitalize on NOAA’s new $20M South Florida Resilience Fund by positioning our services as the primary data provider for grant applications (Miami has 67% of all eligible projects).</w:t>
      </w:r>
    </w:p>
    <w:bookmarkEnd w:id="25"/>
    <w:bookmarkStart w:id="26" w:name="vii.-conclusion"/>
    <w:p>
      <w:pPr>
        <w:pStyle w:val="Heading2"/>
      </w:pPr>
      <w:r>
        <w:t xml:space="preserve">VII. Conclusion</w:t>
      </w:r>
    </w:p>
    <w:p>
      <w:pPr>
        <w:pStyle w:val="FirstParagraph"/>
      </w:pPr>
      <w:r>
        <w:t xml:space="preserve">The Sales Report confirms Oceanographer Solutions LLC is not merely selling data services in United States Miami – we are delivering indispensable climate action intelligence tailored to the city’s survival needs. Our Q3 performance exemplifies how specialized oceanographic expertise, hyper-localized for Miami's unique vulnerabilities, drives exceptional sales outcomes in high-stakes environmental markets. The strategic focus on integrating our Oceanographer-driven solutions with Miami’s most critical initiatives (climate resilience planning, tourism sustainability, infrastructure protection) has positioned us as the market leader. As sea-level rise intensifies and regulatory demands evolve, Oceanographer Solutions will remain the definitive partner for decision-makers navigating the dynamic waters of United States Miami. The trajectory is clear: sustained growth through deepening our role as Miami’s trusted oceanographic authority.</w:t>
      </w:r>
    </w:p>
    <w:p>
      <w:pPr>
        <w:pStyle w:val="BodyText"/>
      </w:pPr>
      <w:r>
        <w:rPr>
          <w:bCs/>
          <w:b/>
        </w:rPr>
        <w:t xml:space="preserve">Prepared By:</w:t>
      </w:r>
      <w:r>
        <w:t xml:space="preserve"> </w:t>
      </w:r>
      <w:r>
        <w:t xml:space="preserve">Alex Morgan, Director of Sales - United States Region</w:t>
      </w:r>
      <w:r>
        <w:br/>
      </w:r>
      <w:r>
        <w:rPr>
          <w:bCs/>
          <w:b/>
        </w:rPr>
        <w:t xml:space="preserve">Email:</w:t>
      </w:r>
      <w:r>
        <w:t xml:space="preserve"> </w:t>
      </w:r>
      <w:r>
        <w:t xml:space="preserve">amorgan@oceanographersolutions.com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Miami Oceanographer Sales Report</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