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Brisbane,</w:t>
      </w:r>
      <w:r>
        <w:t xml:space="preserve"> </w:t>
      </w:r>
      <w:r>
        <w:t xml:space="preserve">Australia</w:t>
      </w:r>
    </w:p>
    <w:bookmarkStart w:id="30" w:name="Xaa2a36c5e538a086359b881a2e8888b7a93d184"/>
    <w:p>
      <w:pPr>
        <w:pStyle w:val="Heading1"/>
      </w:pPr>
      <w:r>
        <w:t xml:space="preserve">Ophthalmologist Sales Performance Report for Brisbane, Australia</w:t>
      </w:r>
    </w:p>
    <w:bookmarkStart w:id="20" w:name="executive-summary"/>
    <w:p>
      <w:pPr>
        <w:pStyle w:val="Heading2"/>
      </w:pPr>
      <w:r>
        <w:t xml:space="preserve">Executive Summary</w:t>
      </w:r>
    </w:p>
    <w:p>
      <w:pPr>
        <w:pStyle w:val="FirstParagraph"/>
      </w:pPr>
      <w:r>
        <w:t xml:space="preserve">This comprehensive Sales Report details the performance of ophthalmology service delivery across Brisbane, Australia during the first half of 2024. The report focuses specifically on key metrics related to Ophthalmologist practices, patient acquisition, revenue generation, and market positioning within the Australian healthcare landscape. With Brisbane experiencing significant population growth (projected +1.8% annually), demand for specialized eye care has surged by 15% compared to last year, making this Sales Report essential for strategic planning in the Australia Brisbane market.</w:t>
      </w:r>
    </w:p>
    <w:p>
      <w:pPr>
        <w:pStyle w:val="BodyText"/>
      </w:pPr>
      <w:r>
        <w:rPr>
          <w:bCs/>
          <w:b/>
        </w:rPr>
        <w:t xml:space="preserve">Key Insight:</w:t>
      </w:r>
      <w:r>
        <w:t xml:space="preserve"> </w:t>
      </w:r>
      <w:r>
        <w:t xml:space="preserve">Ophthalmologist practices in Brisbane have demonstrated exceptional growth potential, driven by an aging demographic and increased awareness of preventative eye care services across Australia.</w:t>
      </w:r>
    </w:p>
    <w:bookmarkEnd w:id="20"/>
    <w:bookmarkStart w:id="21" w:name="X53dc2a3d81569b285665cdab6824c0fff536750"/>
    <w:p>
      <w:pPr>
        <w:pStyle w:val="Heading2"/>
      </w:pPr>
      <w:r>
        <w:t xml:space="preserve">Market Context: Australia Brisbane Ophthalmology Landscape</w:t>
      </w:r>
    </w:p>
    <w:p>
      <w:pPr>
        <w:pStyle w:val="FirstParagraph"/>
      </w:pPr>
      <w:r>
        <w:t xml:space="preserve">Brisbane's healthcare market presents unique opportunities for Ophthalmologist practices due to its rapidly expanding urban population and high prevalence of age-related eye conditions. As the capital of Queensland, Brisbane serves a catchment area exceeding 4 million residents, with approximately 22% aged over 55 – the primary demographic requiring ophthalmic services. This Sales Report identifies Brisbane as Australia's fastest-growing hub for specialized eye care innovation.</w:t>
      </w:r>
    </w:p>
    <w:p>
      <w:pPr>
        <w:pStyle w:val="BodyText"/>
      </w:pPr>
      <w:r>
        <w:t xml:space="preserve">Key market drivers include:</w:t>
      </w:r>
    </w:p>
    <w:p>
      <w:pPr>
        <w:numPr>
          <w:ilvl w:val="0"/>
          <w:numId w:val="1001"/>
        </w:numPr>
        <w:pStyle w:val="Compact"/>
      </w:pPr>
      <w:r>
        <w:t xml:space="preserve">Rising diabetes rates (1 in 10 Queenslanders diagnosed) increasing demand for diabetic retinopathy screenings</w:t>
      </w:r>
    </w:p>
    <w:p>
      <w:pPr>
        <w:numPr>
          <w:ilvl w:val="0"/>
          <w:numId w:val="1001"/>
        </w:numPr>
        <w:pStyle w:val="Compact"/>
      </w:pPr>
      <w:r>
        <w:t xml:space="preserve">New public health initiatives like the Queensland Eye Health Program</w:t>
      </w:r>
    </w:p>
    <w:p>
      <w:pPr>
        <w:numPr>
          <w:ilvl w:val="0"/>
          <w:numId w:val="1001"/>
        </w:numPr>
        <w:pStyle w:val="Compact"/>
      </w:pPr>
      <w:r>
        <w:t xml:space="preserve">Increased private health insurance coverage for comprehensive eye care</w:t>
      </w:r>
    </w:p>
    <w:p>
      <w:pPr>
        <w:pStyle w:val="FirstParagraph"/>
      </w:pPr>
      <w:r>
        <w:t xml:space="preserve">The Brisbane market has become a critical focal point for Ophthalmologist service expansion across Australia, with 37% of all ophthalmology practices in Queensland operating within the city limits.</w:t>
      </w:r>
    </w:p>
    <w:bookmarkEnd w:id="21"/>
    <w:bookmarkStart w:id="24" w:name="X5455e61ed8200049e07c000a45139ae928ce29f"/>
    <w:p>
      <w:pPr>
        <w:pStyle w:val="Heading2"/>
      </w:pPr>
      <w:r>
        <w:t xml:space="preserve">Performance Metrics: Sales Report Analysis</w:t>
      </w:r>
    </w:p>
    <w:bookmarkStart w:id="22" w:name="patient-volume-service-revenue"/>
    <w:p>
      <w:pPr>
        <w:pStyle w:val="Heading3"/>
      </w:pPr>
      <w:r>
        <w:t xml:space="preserve">Patient Volume &amp; Service Revenue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Q1-2024 (Units)</w:t>
            </w:r>
          </w:p>
        </w:tc>
        <w:tc>
          <w:tcPr/>
          <w:p>
            <w:pPr>
              <w:pStyle w:val="Compact"/>
              <w:jc w:val="left"/>
            </w:pPr>
            <w:r>
              <w:t xml:space="preserve">Q1-2023 (Units)</w:t>
            </w:r>
          </w:p>
        </w:tc>
        <w:tc>
          <w:tcPr/>
          <w:p>
            <w:pPr>
              <w:pStyle w:val="Compact"/>
              <w:jc w:val="left"/>
            </w:pPr>
            <w:r>
              <w:t xml:space="preserve">% Change</w:t>
            </w:r>
          </w:p>
        </w:tc>
      </w:tr>
      <w:tr>
        <w:tc>
          <w:tcPr/>
          <w:p>
            <w:pPr>
              <w:pStyle w:val="Compact"/>
              <w:jc w:val="left"/>
            </w:pPr>
            <w:r>
              <w:t xml:space="preserve">Cataract Surgery</w:t>
            </w:r>
          </w:p>
        </w:tc>
        <w:tc>
          <w:tcPr/>
          <w:p>
            <w:pPr>
              <w:pStyle w:val="Compact"/>
              <w:jc w:val="left"/>
            </w:pPr>
            <w:r>
              <w:t xml:space="preserve">847</w:t>
            </w:r>
          </w:p>
        </w:tc>
        <w:tc>
          <w:tcPr/>
          <w:p>
            <w:pPr>
              <w:pStyle w:val="Compact"/>
              <w:jc w:val="left"/>
            </w:pPr>
            <w:r>
              <w:t xml:space="preserve">762</w:t>
            </w:r>
          </w:p>
        </w:tc>
        <w:tc>
          <w:tcPr/>
          <w:p>
            <w:pPr>
              <w:pStyle w:val="Compact"/>
              <w:jc w:val="left"/>
            </w:pPr>
            <w:r>
              <w:t xml:space="preserve">+11.2%</w:t>
            </w:r>
          </w:p>
        </w:tc>
      </w:tr>
      <w:tr>
        <w:tc>
          <w:tcPr/>
          <w:p>
            <w:pPr>
              <w:pStyle w:val="Compact"/>
              <w:jc w:val="left"/>
            </w:pPr>
            <w:r>
              <w:t xml:space="preserve">Digital Retinal Scans</w:t>
            </w:r>
          </w:p>
        </w:tc>
        <w:tc>
          <w:tcPr/>
          <w:p>
            <w:pPr>
              <w:pStyle w:val="Compact"/>
              <w:jc w:val="left"/>
            </w:pPr>
            <w:r>
              <w:t xml:space="preserve">3,450</w:t>
            </w:r>
          </w:p>
        </w:tc>
        <w:tc>
          <w:tcPr/>
          <w:p>
            <w:pPr>
              <w:pStyle w:val="Compact"/>
              <w:jc w:val="left"/>
            </w:pPr>
            <w:r>
              <w:t xml:space="preserve">2,895</w:t>
            </w:r>
          </w:p>
        </w:tc>
        <w:tc>
          <w:tcPr/>
          <w:p>
            <w:pPr>
              <w:pStyle w:val="Compact"/>
              <w:jc w:val="left"/>
            </w:pPr>
            <w:r>
              <w:t xml:space="preserve">+19.2%</w:t>
            </w:r>
          </w:p>
        </w:tc>
      </w:tr>
      <w:tr>
        <w:tc>
          <w:tcPr/>
          <w:p>
            <w:pPr>
              <w:pStyle w:val="Compact"/>
              <w:jc w:val="left"/>
            </w:pPr>
            <w:r>
              <w:t xml:space="preserve">Total Revenue</w:t>
            </w:r>
          </w:p>
        </w:tc>
        <w:tc>
          <w:tcPr/>
          <w:p>
            <w:pPr>
              <w:pStyle w:val="Compact"/>
              <w:jc w:val="left"/>
            </w:pPr>
            <w:r>
              <w:t xml:space="preserve">$12.6M</w:t>
            </w:r>
          </w:p>
        </w:tc>
        <w:tc>
          <w:tcPr/>
          <w:p>
            <w:pPr>
              <w:pStyle w:val="Compact"/>
              <w:jc w:val="left"/>
            </w:pPr>
            <w:r>
              <w:t xml:space="preserve">$10.3M</w:t>
            </w:r>
          </w:p>
        </w:tc>
        <w:tc>
          <w:tcPr/>
          <w:p>
            <w:pPr>
              <w:pStyle w:val="Compact"/>
              <w:jc w:val="left"/>
            </w:pPr>
            <w:r>
              <w:rPr>
                <w:bCs/>
                <w:b/>
              </w:rPr>
              <w:t xml:space="preserve">+22.3%</w:t>
            </w:r>
          </w:p>
        </w:tc>
      </w:tr>
    </w:tbl>
    <w:p>
      <w:pPr>
        <w:pStyle w:val="BodyText"/>
      </w:pPr>
      <w:r>
        <w:t xml:space="preserve">Revenue growth has outpaced national averages by 5.7%, driven primarily by premium services like laser vision correction (47% growth) and teleophthalmology consultations (63% growth). This Sales Report confirms that Brisbane Ophthalmologist practices are effectively capturing market share through technology integration and patient-centric service models.</w:t>
      </w:r>
    </w:p>
    <w:bookmarkEnd w:id="22"/>
    <w:bookmarkStart w:id="23" w:name="geographic-performance"/>
    <w:p>
      <w:pPr>
        <w:pStyle w:val="Heading3"/>
      </w:pPr>
      <w:r>
        <w:t xml:space="preserve">Geographic Performance</w:t>
      </w:r>
    </w:p>
    <w:p>
      <w:pPr>
        <w:pStyle w:val="FirstParagraph"/>
      </w:pPr>
      <w:r>
        <w:t xml:space="preserve">Top-performing regions within Brisbane include:</w:t>
      </w:r>
    </w:p>
    <w:p>
      <w:pPr>
        <w:numPr>
          <w:ilvl w:val="0"/>
          <w:numId w:val="1002"/>
        </w:numPr>
        <w:pStyle w:val="Compact"/>
      </w:pPr>
      <w:r>
        <w:rPr>
          <w:bCs/>
          <w:b/>
        </w:rPr>
        <w:t xml:space="preserve">South Bank:</w:t>
      </w:r>
      <w:r>
        <w:t xml:space="preserve"> </w:t>
      </w:r>
      <w:r>
        <w:t xml:space="preserve">Highest revenue per practice ($2.1M) due to proximity to major hospitals and private health facilities</w:t>
      </w:r>
    </w:p>
    <w:p>
      <w:pPr>
        <w:numPr>
          <w:ilvl w:val="0"/>
          <w:numId w:val="1002"/>
        </w:numPr>
        <w:pStyle w:val="Compact"/>
      </w:pPr>
      <w:r>
        <w:rPr>
          <w:bCs/>
          <w:b/>
        </w:rPr>
        <w:t xml:space="preserve">Fortitude Valley:</w:t>
      </w:r>
      <w:r>
        <w:t xml:space="preserve"> </w:t>
      </w:r>
      <w:r>
        <w:t xml:space="preserve">Fastest-growing patient acquisition channel (32% YoY increase through digital marketing)</w:t>
      </w:r>
    </w:p>
    <w:p>
      <w:pPr>
        <w:numPr>
          <w:ilvl w:val="0"/>
          <w:numId w:val="1002"/>
        </w:numPr>
        <w:pStyle w:val="Compact"/>
      </w:pPr>
      <w:r>
        <w:rPr>
          <w:bCs/>
          <w:b/>
        </w:rPr>
        <w:t xml:space="preserve">Brisbane CBD:</w:t>
      </w:r>
      <w:r>
        <w:t xml:space="preserve"> </w:t>
      </w:r>
      <w:r>
        <w:t xml:space="preserve">Strong retention rates (89%) but slower new patient acquisition</w:t>
      </w:r>
    </w:p>
    <w:p>
      <w:pPr>
        <w:pStyle w:val="FirstParagraph"/>
      </w:pPr>
      <w:r>
        <w:t xml:space="preserve">The Sales Report indicates that strategic location in Brisbane's premium healthcare corridors directly correlates with Ophthalmologist practice profitability, with South Bank locations generating 2.3x the revenue per patient compared to peripheral suburbs.</w:t>
      </w:r>
    </w:p>
    <w:bookmarkEnd w:id="23"/>
    <w:bookmarkEnd w:id="24"/>
    <w:bookmarkStart w:id="25" w:name="X771effe3743f348f241528ffde245fe82f3ff2e"/>
    <w:p>
      <w:pPr>
        <w:pStyle w:val="Heading2"/>
      </w:pPr>
      <w:r>
        <w:t xml:space="preserve">Competitive Positioning: Australia Brisbane Ophthalmology Market</w:t>
      </w:r>
    </w:p>
    <w:p>
      <w:pPr>
        <w:pStyle w:val="FirstParagraph"/>
      </w:pPr>
      <w:r>
        <w:t xml:space="preserve">Brisbane's Ophthalmologist landscape features three primary competitive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Key Strengths</w:t>
            </w:r>
          </w:p>
        </w:tc>
      </w:tr>
      <w:tr>
        <w:tc>
          <w:tcPr/>
          <w:p>
            <w:pPr>
              <w:pStyle w:val="Compact"/>
              <w:jc w:val="left"/>
            </w:pPr>
            <w:r>
              <w:t xml:space="preserve">Private Practice Ophthalmologists</w:t>
            </w:r>
          </w:p>
        </w:tc>
        <w:tc>
          <w:tcPr/>
          <w:p>
            <w:pPr>
              <w:pStyle w:val="Compact"/>
              <w:jc w:val="left"/>
            </w:pPr>
            <w:r>
              <w:t xml:space="preserve">58%</w:t>
            </w:r>
          </w:p>
        </w:tc>
        <w:tc>
          <w:tcPr/>
          <w:p>
            <w:pPr>
              <w:pStyle w:val="Compact"/>
              <w:jc w:val="left"/>
            </w:pPr>
            <w:r>
              <w:t xml:space="preserve">Patient relationships, specialized care, flexible scheduling</w:t>
            </w:r>
          </w:p>
        </w:tc>
      </w:tr>
      <w:tr>
        <w:tc>
          <w:tcPr/>
          <w:p>
            <w:pPr>
              <w:pStyle w:val="Compact"/>
              <w:jc w:val="left"/>
            </w:pPr>
            <w:r>
              <w:t xml:space="preserve">Hospital-Based Services (e.g., Royal Brisbane)</w:t>
            </w:r>
          </w:p>
        </w:tc>
        <w:tc>
          <w:tcPr/>
          <w:p>
            <w:pPr>
              <w:pStyle w:val="Compact"/>
              <w:jc w:val="left"/>
            </w:pPr>
            <w:r>
              <w:t xml:space="preserve">27%</w:t>
            </w:r>
          </w:p>
        </w:tc>
        <w:tc>
          <w:tcPr/>
          <w:p>
            <w:pPr>
              <w:pStyle w:val="Compact"/>
              <w:jc w:val="left"/>
            </w:pPr>
            <w:r>
              <w:t xml:space="preserve">Comprehensive emergency care, specialist referrals</w:t>
            </w:r>
          </w:p>
        </w:tc>
      </w:tr>
      <w:tr>
        <w:tc>
          <w:tcPr/>
          <w:p>
            <w:pPr>
              <w:pStyle w:val="Compact"/>
              <w:jc w:val="left"/>
            </w:pPr>
            <w:r>
              <w:t xml:space="preserve">National Eye Care Chains</w:t>
            </w:r>
          </w:p>
        </w:tc>
        <w:tc>
          <w:tcPr/>
          <w:p>
            <w:pPr>
              <w:pStyle w:val="Compact"/>
              <w:jc w:val="left"/>
            </w:pPr>
            <w:r>
              <w:t xml:space="preserve">15%</w:t>
            </w:r>
          </w:p>
        </w:tc>
        <w:tc>
          <w:tcPr/>
          <w:p>
            <w:pPr>
              <w:pStyle w:val="Compact"/>
              <w:jc w:val="left"/>
            </w:pPr>
            <w:r>
              <w:t xml:space="preserve">Cross-subsidization, marketing reach, standardized protocols</w:t>
            </w:r>
          </w:p>
        </w:tc>
      </w:tr>
    </w:tbl>
    <w:p>
      <w:pPr>
        <w:pStyle w:val="BodyText"/>
      </w:pPr>
      <w:r>
        <w:t xml:space="preserve">The Sales Report reveals that Brisbane's independent Ophthalmologist practices maintain a competitive advantage in patient satisfaction (4.8/5 vs. industry average 4.3) but face pressure from national chains' aggressive pricing strategies for routine services.</w:t>
      </w:r>
    </w:p>
    <w:bookmarkEnd w:id="25"/>
    <w:bookmarkStart w:id="28" w:name="strategic-recommendations"/>
    <w:p>
      <w:pPr>
        <w:pStyle w:val="Heading2"/>
      </w:pPr>
      <w:r>
        <w:t xml:space="preserve">Strategic Recommendations</w:t>
      </w:r>
    </w:p>
    <w:bookmarkStart w:id="26" w:name="for-brisbane-ophthalmologist-practices"/>
    <w:p>
      <w:pPr>
        <w:pStyle w:val="Heading3"/>
      </w:pPr>
      <w:r>
        <w:t xml:space="preserve">For Brisbane Ophthalmologist Practices</w:t>
      </w:r>
    </w:p>
    <w:p>
      <w:pPr>
        <w:numPr>
          <w:ilvl w:val="0"/>
          <w:numId w:val="1003"/>
        </w:numPr>
        <w:pStyle w:val="Compact"/>
      </w:pPr>
      <w:r>
        <w:rPr>
          <w:bCs/>
          <w:b/>
        </w:rPr>
        <w:t xml:space="preserve">Invest in Teleophthalmology:</w:t>
      </w:r>
      <w:r>
        <w:t xml:space="preserve"> </w:t>
      </w:r>
      <w:r>
        <w:t xml:space="preserve">Implement virtual consultations to capture remote patients across Queensland, addressing rural healthcare gaps that Australia's National Eye Health Strategy identifies as critical.</w:t>
      </w:r>
    </w:p>
    <w:p>
      <w:pPr>
        <w:numPr>
          <w:ilvl w:val="0"/>
          <w:numId w:val="1003"/>
        </w:numPr>
        <w:pStyle w:val="Compact"/>
      </w:pPr>
      <w:r>
        <w:rPr>
          <w:bCs/>
          <w:b/>
        </w:rPr>
        <w:t xml:space="preserve">Leverage Brisbane's Demographics:</w:t>
      </w:r>
      <w:r>
        <w:t xml:space="preserve"> </w:t>
      </w:r>
      <w:r>
        <w:t xml:space="preserve">Develop targeted marketing for aging population segments through community health centers in South Brisbane and Paddington.</w:t>
      </w:r>
    </w:p>
    <w:p>
      <w:pPr>
        <w:numPr>
          <w:ilvl w:val="0"/>
          <w:numId w:val="1003"/>
        </w:numPr>
        <w:pStyle w:val="Compact"/>
      </w:pPr>
      <w:r>
        <w:rPr>
          <w:bCs/>
          <w:b/>
        </w:rPr>
        <w:t xml:space="preserve">Form Strategic Partnerships:</w:t>
      </w:r>
      <w:r>
        <w:t xml:space="preserve"> </w:t>
      </w:r>
      <w:r>
        <w:t xml:space="preserve">Collaborate with local private health insurers (e.g., Medibank, BUPA) to create bundled eye care packages that drive patient volume.</w:t>
      </w:r>
    </w:p>
    <w:bookmarkEnd w:id="26"/>
    <w:bookmarkStart w:id="27" w:name="national-sales-strategy"/>
    <w:p>
      <w:pPr>
        <w:pStyle w:val="Heading3"/>
      </w:pPr>
      <w:r>
        <w:t xml:space="preserve">National Sales Strategy</w:t>
      </w:r>
    </w:p>
    <w:p>
      <w:pPr>
        <w:pStyle w:val="FirstParagraph"/>
      </w:pPr>
      <w:r>
        <w:t xml:space="preserve">Brisbane represents Australia's most promising market for ophthalmology service expansion. The Sales Report recommends:</w:t>
      </w:r>
    </w:p>
    <w:p>
      <w:pPr>
        <w:numPr>
          <w:ilvl w:val="0"/>
          <w:numId w:val="1004"/>
        </w:numPr>
        <w:pStyle w:val="Compact"/>
      </w:pPr>
      <w:r>
        <w:t xml:space="preserve">Establishing Brisbane as the national hub for Ophthalmologist training programs</w:t>
      </w:r>
    </w:p>
    <w:p>
      <w:pPr>
        <w:numPr>
          <w:ilvl w:val="0"/>
          <w:numId w:val="1004"/>
        </w:numPr>
        <w:pStyle w:val="Compact"/>
      </w:pPr>
      <w:r>
        <w:t xml:space="preserve">Developing a Queensland-specific marketing campaign targeting diabetes management programs</w:t>
      </w:r>
    </w:p>
    <w:p>
      <w:pPr>
        <w:numPr>
          <w:ilvl w:val="0"/>
          <w:numId w:val="1004"/>
        </w:numPr>
        <w:pStyle w:val="Compact"/>
      </w:pPr>
      <w:r>
        <w:t xml:space="preserve">Creating tiered pricing models that capture both private and public healthcare segments across Australia Brisbane</w:t>
      </w:r>
    </w:p>
    <w:p>
      <w:pPr>
        <w:pStyle w:val="FirstParagraph"/>
      </w:pPr>
      <w:r>
        <w:t xml:space="preserve">The Sales Report concludes that Brisbane's Ophthalmologist practices must prioritize patient journey optimization to maintain competitiveness in Australia's evolving healthcare market, with telehealth adoption being the single most impactful growth driver for 2024.</w:t>
      </w:r>
    </w:p>
    <w:bookmarkEnd w:id="27"/>
    <w:bookmarkEnd w:id="28"/>
    <w:bookmarkStart w:id="29" w:name="conclusion"/>
    <w:p>
      <w:pPr>
        <w:pStyle w:val="Heading2"/>
      </w:pPr>
      <w:r>
        <w:t xml:space="preserve">Conclusion</w:t>
      </w:r>
    </w:p>
    <w:p>
      <w:pPr>
        <w:pStyle w:val="FirstParagraph"/>
      </w:pPr>
      <w:r>
        <w:t xml:space="preserve">This Sales Report demonstrates that Ophthalmologist practices in Australia Brisbane are not merely keeping pace with market demands—they are leading the charge in innovative eye care delivery. The 22.3% revenue growth recorded during Q1-Q2 2024 positions Brisbane as a national benchmark for ophthalmology service excellence, outperforming other Australian capital cities by 7.5 percentage points.</w:t>
      </w:r>
    </w:p>
    <w:p>
      <w:pPr>
        <w:pStyle w:val="BodyText"/>
      </w:pPr>
      <w:r>
        <w:t xml:space="preserve">As the healthcare landscape continues to evolve with Australia's National Eye Health Strategy 2030, Brisbane Ophthalmologist practices are uniquely positioned to capture market leadership through technology adoption and patient-centric service models. The strategic recommendations outlined in this report provide a clear pathway for sustained growth in the Brisbane market, directly translating to enhanced revenue performance across all Australia Brisbane operations.</w:t>
      </w:r>
    </w:p>
    <w:p>
      <w:pPr>
        <w:pStyle w:val="BodyText"/>
      </w:pPr>
      <w:r>
        <w:rPr>
          <w:bCs/>
          <w:b/>
        </w:rPr>
        <w:t xml:space="preserve">Final Note:</w:t>
      </w:r>
      <w:r>
        <w:t xml:space="preserve"> </w:t>
      </w:r>
      <w:r>
        <w:t xml:space="preserve">This Sales Report confirms that investing in Ophthalmologist talent development and technology infrastructure within Brisbane will yield the highest return on investment across Australia's eye care sector. The future of ophthalmology in Australia is being shaped by the practices leading today in Brisbane.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 Brisbane, Australia</dc:title>
  <dc:creator/>
  <dc:language>en</dc:language>
  <cp:keywords/>
  <dcterms:created xsi:type="dcterms:W3CDTF">2026-07-23T10:49:00Z</dcterms:created>
  <dcterms:modified xsi:type="dcterms:W3CDTF">2026-07-23T10:49:00Z</dcterms:modified>
</cp:coreProperties>
</file>

<file path=docProps/custom.xml><?xml version="1.0" encoding="utf-8"?>
<Properties xmlns="http://schemas.openxmlformats.org/officeDocument/2006/custom-properties" xmlns:vt="http://schemas.openxmlformats.org/officeDocument/2006/docPropsVTypes"/>
</file>