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p>
    <w:bookmarkStart w:id="35" w:name="Xd9d6e7b8829902bbff70386650154ae5e823e6c"/>
    <w:p>
      <w:pPr>
        <w:pStyle w:val="Heading1"/>
      </w:pPr>
      <w:r>
        <w:t xml:space="preserve">Comprehensive Sales Report: Ophthalmology Practice Performance in Australia Melbourne</w:t>
      </w:r>
    </w:p>
    <w:bookmarkStart w:id="20"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End w:id="20"/>
    <w:bookmarkStart w:id="21" w:name="executive-summary"/>
    <w:p>
      <w:pPr>
        <w:pStyle w:val="Heading2"/>
      </w:pPr>
      <w:r>
        <w:t xml:space="preserve">1. Executive Summary</w:t>
      </w:r>
    </w:p>
    <w:p>
      <w:pPr>
        <w:pStyle w:val="FirstParagraph"/>
      </w:pPr>
      <w:r>
        <w:t xml:space="preserve">This Sales Report details the operational and financial performance of our ophthalmology practice within Australia Melbourne, serving a growing patient demographic across Victoria. As leading specialists in eye care, our Melbourne-based practice achieved a 14.7% year-over-year revenue increase during Q3 2023, driven by strategic service expansion and enhanced community engagement. This document underscores how targeted initiatives aligned with Australia's evolving healthcare landscape have positioned us as a market leader in ophthalmology services across Melbourne. The report confirms that our focus on comprehensive eye care solutions has significantly strengthened our position as the preferred</w:t>
      </w:r>
      <w:r>
        <w:t xml:space="preserve"> </w:t>
      </w:r>
      <w:r>
        <w:rPr>
          <w:iCs/>
          <w:i/>
        </w:rPr>
        <w:t xml:space="preserve">Ophthalmologist</w:t>
      </w:r>
      <w:r>
        <w:t xml:space="preserve"> </w:t>
      </w:r>
      <w:r>
        <w:t xml:space="preserve">provider in the region.</w:t>
      </w:r>
    </w:p>
    <w:bookmarkEnd w:id="21"/>
    <w:bookmarkStart w:id="22" w:name="Xc49203a4cea695a6992ff0f5a8834fb0c12ff58"/>
    <w:p>
      <w:pPr>
        <w:pStyle w:val="Heading2"/>
      </w:pPr>
      <w:r>
        <w:t xml:space="preserve">2. Melbourne Market Context: Australia Ophthalmology Landscape</w:t>
      </w:r>
    </w:p>
    <w:p>
      <w:pPr>
        <w:pStyle w:val="FirstParagraph"/>
      </w:pPr>
      <w:r>
        <w:t xml:space="preserve">Australia's ophthalmology market is experiencing unprecedented growth, with Melbourne at the epicenter of this expansion. As Victoria's largest city and healthcare hub, Melbourne represents 37% of Australia's ophthalmic procedures annually (Australian Institute of Health and Welfare, 2023). The aging population (18.9% aged 65+ in Melbourne) directly correlates with rising demand for cataract surgery, diabetic retinopathy screening, and glaucoma management. Our practice strategically addresses these needs through a dedicated</w:t>
      </w:r>
      <w:r>
        <w:t xml:space="preserve"> </w:t>
      </w:r>
      <w:r>
        <w:rPr>
          <w:iCs/>
          <w:i/>
        </w:rPr>
        <w:t xml:space="preserve">Ophthalmologist</w:t>
      </w:r>
      <w:r>
        <w:t xml:space="preserve"> </w:t>
      </w:r>
      <w:r>
        <w:t xml:space="preserve">team of 12 specialists, operating across three state-of-the-art facilities in East Melbourne, Docklands, and the Northern Suburbs.</w:t>
      </w:r>
    </w:p>
    <w:p>
      <w:pPr>
        <w:pStyle w:val="BodyText"/>
      </w:pPr>
      <w:r>
        <w:t xml:space="preserve">The Australian government's recent $5.2 billion investment in aged care infrastructure has further accelerated demand for eye health services. This context makes our Melbourne operations particularly vital to Australia's healthcare ecosystem, where timely access to specialized</w:t>
      </w:r>
      <w:r>
        <w:t xml:space="preserve"> </w:t>
      </w:r>
      <w:r>
        <w:rPr>
          <w:iCs/>
          <w:i/>
        </w:rPr>
        <w:t xml:space="preserve">Ophthalmologist</w:t>
      </w:r>
      <w:r>
        <w:t xml:space="preserve"> </w:t>
      </w:r>
      <w:r>
        <w:t xml:space="preserve">services remains a critical need – especially in underserved areas like outer Melbourne suburbs.</w:t>
      </w:r>
    </w:p>
    <w:bookmarkEnd w:id="22"/>
    <w:bookmarkStart w:id="25" w:name="sales-performance-breakdown-q3-2023"/>
    <w:p>
      <w:pPr>
        <w:pStyle w:val="Heading2"/>
      </w:pPr>
      <w:r>
        <w:t xml:space="preserve">3. Sales Performance Breakdown (Q3 2023)</w:t>
      </w:r>
    </w:p>
    <w:bookmarkStart w:id="23" w:name="revenue-streams-analysis"/>
    <w:p>
      <w:pPr>
        <w:pStyle w:val="Heading3"/>
      </w:pPr>
      <w:r>
        <w:t xml:space="preserve">Revenue Streams Analysis</w:t>
      </w:r>
    </w:p>
    <w:p>
      <w:pPr>
        <w:pStyle w:val="FirstParagraph"/>
      </w:pPr>
      <w:r>
        <w:t xml:space="preserve">Service Category</w:t>
      </w:r>
    </w:p>
    <w:p>
      <w:pPr>
        <w:pStyle w:val="BodyText"/>
      </w:pPr>
      <w:r>
        <w:t xml:space="preserve">Revenue (AUD)</w:t>
      </w:r>
    </w:p>
    <w:p>
      <w:pPr>
        <w:pStyle w:val="BodyText"/>
      </w:pPr>
      <w:r>
        <w:t xml:space="preserve">% of Total Revenue</w:t>
      </w:r>
    </w:p>
    <w:p>
      <w:pPr>
        <w:pStyle w:val="BodyText"/>
      </w:pPr>
      <w:r>
        <w:t xml:space="preserve">YOY Change</w:t>
      </w:r>
    </w:p>
    <w:p>
      <w:pPr>
        <w:pStyle w:val="BodyText"/>
      </w:pPr>
      <w:r>
        <w:t xml:space="preserve">Cataract Surgery</w:t>
      </w:r>
    </w:p>
    <w:p>
      <w:pPr>
        <w:pStyle w:val="BodyText"/>
      </w:pPr>
      <w:r>
        <w:t xml:space="preserve">$1,245,000</w:t>
      </w:r>
    </w:p>
    <w:p>
      <w:pPr>
        <w:pStyle w:val="BodyText"/>
      </w:pPr>
      <w:r>
        <w:t xml:space="preserve">48.2%</w:t>
      </w:r>
    </w:p>
    <w:p>
      <w:pPr>
        <w:pStyle w:val="BodyText"/>
      </w:pPr>
      <w:r>
        <w:t xml:space="preserve">+19.3%</w:t>
      </w:r>
    </w:p>
    <w:p>
      <w:pPr>
        <w:pStyle w:val="BodyText"/>
      </w:pPr>
      <w:r>
        <w:t xml:space="preserve">Diabetic Retinopathy Screening</w:t>
      </w:r>
    </w:p>
    <w:p>
      <w:pPr>
        <w:pStyle w:val="BodyText"/>
      </w:pPr>
      <w:r>
        <w:t xml:space="preserve">$387,500</w:t>
      </w:r>
    </w:p>
    <w:bookmarkEnd w:id="23"/>
    <w:bookmarkStart w:id="24" w:name="key-sales-metrics"/>
    <w:p>
      <w:pPr>
        <w:pStyle w:val="Heading3"/>
      </w:pPr>
      <w:r>
        <w:t xml:space="preserve">Key Sales Metrics:</w:t>
      </w:r>
    </w:p>
    <w:p>
      <w:pPr>
        <w:numPr>
          <w:ilvl w:val="0"/>
          <w:numId w:val="1001"/>
        </w:numPr>
        <w:pStyle w:val="Compact"/>
      </w:pPr>
      <w:r>
        <w:rPr>
          <w:bCs/>
          <w:b/>
        </w:rPr>
        <w:t xml:space="preserve">Patient Volume:</w:t>
      </w:r>
      <w:r>
        <w:t xml:space="preserve"> </w:t>
      </w:r>
      <w:r>
        <w:t xml:space="preserve">4,126 consultations (+22.1% YoY), with Melbourne's highest new patient acquisition rate (47% from rural referral partners)</w:t>
      </w:r>
    </w:p>
    <w:p>
      <w:pPr>
        <w:numPr>
          <w:ilvl w:val="0"/>
          <w:numId w:val="1001"/>
        </w:numPr>
        <w:pStyle w:val="Compact"/>
      </w:pPr>
      <w:r>
        <w:rPr>
          <w:bCs/>
          <w:b/>
        </w:rPr>
        <w:t xml:space="preserve">Procedure Volume:</w:t>
      </w:r>
      <w:r>
        <w:t xml:space="preserve"> </w:t>
      </w:r>
      <w:r>
        <w:t xml:space="preserve">893 surgeries completed (surpassing target by 15%), including record-breaking LASIK procedures (+32% vs Q2)</w:t>
      </w:r>
    </w:p>
    <w:p>
      <w:pPr>
        <w:numPr>
          <w:ilvl w:val="0"/>
          <w:numId w:val="1001"/>
        </w:numPr>
        <w:pStyle w:val="Compact"/>
      </w:pPr>
      <w:r>
        <w:rPr>
          <w:bCs/>
          <w:b/>
        </w:rPr>
        <w:t xml:space="preserve">Patient Retention Rate:</w:t>
      </w:r>
      <w:r>
        <w:t xml:space="preserve"> </w:t>
      </w:r>
      <w:r>
        <w:t xml:space="preserve">87% (exceeding industry benchmark of 76%) – directly linked to our personalized follow-up protocols</w:t>
      </w:r>
    </w:p>
    <w:p>
      <w:pPr>
        <w:numPr>
          <w:ilvl w:val="0"/>
          <w:numId w:val="1001"/>
        </w:numPr>
        <w:pStyle w:val="Compact"/>
      </w:pPr>
      <w:r>
        <w:rPr>
          <w:bCs/>
          <w:b/>
        </w:rPr>
        <w:t xml:space="preserve">Private Health Fund Utilization:</w:t>
      </w:r>
      <w:r>
        <w:t xml:space="preserve"> </w:t>
      </w:r>
      <w:r>
        <w:t xml:space="preserve">68.3% of procedures covered (up from 61.2% in Q2), reflecting improved insurer partnerships</w:t>
      </w:r>
    </w:p>
    <w:bookmarkEnd w:id="24"/>
    <w:bookmarkEnd w:id="25"/>
    <w:bookmarkStart w:id="29" w:name="X9700bd856b29e8551707b1b5df94baff3027f48"/>
    <w:p>
      <w:pPr>
        <w:pStyle w:val="Heading2"/>
      </w:pPr>
      <w:r>
        <w:t xml:space="preserve">4. Strategic Initiatives Driving Sales Success in Melbourne</w:t>
      </w:r>
    </w:p>
    <w:bookmarkStart w:id="26" w:name="community-eye-screening-partnerships"/>
    <w:p>
      <w:pPr>
        <w:pStyle w:val="Heading3"/>
      </w:pPr>
      <w:r>
        <w:t xml:space="preserve">4.1 Community Eye Screening Partnerships</w:t>
      </w:r>
    </w:p>
    <w:p>
      <w:pPr>
        <w:pStyle w:val="FirstParagraph"/>
      </w:pPr>
      <w:r>
        <w:t xml:space="preserve">We established a landmark collaboration with Melbourne City Council's Healthy Aging Initiative, deploying mobile screening units across 15 suburbs (including Dandenong and Casey). This initiative generated 842 high-risk patient referrals – translating to $217,000 in direct revenue and securing our reputation as the community-focused</w:t>
      </w:r>
      <w:r>
        <w:t xml:space="preserve"> </w:t>
      </w:r>
      <w:r>
        <w:rPr>
          <w:iCs/>
          <w:i/>
        </w:rPr>
        <w:t xml:space="preserve">Ophthalmologist</w:t>
      </w:r>
      <w:r>
        <w:t xml:space="preserve"> </w:t>
      </w:r>
      <w:r>
        <w:t xml:space="preserve">practice. The program reduced wait times for Aboriginal communities by 63%, aligning with Australia's National Eye Health Plan priorities.</w:t>
      </w:r>
    </w:p>
    <w:bookmarkEnd w:id="26"/>
    <w:bookmarkStart w:id="27" w:name="digital-transformation"/>
    <w:p>
      <w:pPr>
        <w:pStyle w:val="Heading3"/>
      </w:pPr>
      <w:r>
        <w:t xml:space="preserve">4.2 Digital Transformation</w:t>
      </w:r>
    </w:p>
    <w:p>
      <w:pPr>
        <w:pStyle w:val="FirstParagraph"/>
      </w:pPr>
      <w:r>
        <w:t xml:space="preserve">The launch of "Melbourne EyeConnect" – our proprietary telehealth platform integrated with MyHealth Record (Australia's national health system) – drove a 58% increase in virtual consultations. This solution significantly improved access for Melbourne patients in remote areas like the Macedon Ranges, directly supporting Australia's Rural Health Strategy. The platform contributed $142,000 to Q3 revenue while reducing no-show rates by 37%.</w:t>
      </w:r>
    </w:p>
    <w:bookmarkEnd w:id="27"/>
    <w:bookmarkStart w:id="28" w:name="premium-service-bundling"/>
    <w:p>
      <w:pPr>
        <w:pStyle w:val="Heading3"/>
      </w:pPr>
      <w:r>
        <w:t xml:space="preserve">4.3 Premium Service Bundling</w:t>
      </w:r>
    </w:p>
    <w:p>
      <w:pPr>
        <w:pStyle w:val="FirstParagraph"/>
      </w:pPr>
      <w:r>
        <w:t xml:space="preserve">We introduced "VisionCare Premier" packages combining comprehensive eye exams with genetic testing for hereditary conditions – a first in Australia Melbourne. This premium offering (priced at $895) achieved 127% of sales target, generating $318,000 and attracting high-value patients from the Eastern Suburbs and Southbank.</w:t>
      </w:r>
    </w:p>
    <w:bookmarkEnd w:id="28"/>
    <w:bookmarkEnd w:id="29"/>
    <w:bookmarkStart w:id="32" w:name="X19bf3f283dd19dfa60d5ab6331ab456a1449ce7"/>
    <w:p>
      <w:pPr>
        <w:pStyle w:val="Heading2"/>
      </w:pPr>
      <w:r>
        <w:t xml:space="preserve">5. Challenges &amp; Market Opportunities in Australia Melbourne</w:t>
      </w:r>
    </w:p>
    <w:bookmarkStart w:id="30" w:name="current-challenges"/>
    <w:p>
      <w:pPr>
        <w:pStyle w:val="Heading3"/>
      </w:pPr>
      <w:r>
        <w:t xml:space="preserve">Current Challenges:</w:t>
      </w:r>
    </w:p>
    <w:p>
      <w:pPr>
        <w:numPr>
          <w:ilvl w:val="0"/>
          <w:numId w:val="1002"/>
        </w:numPr>
        <w:pStyle w:val="Compact"/>
      </w:pPr>
      <w:r>
        <w:rPr>
          <w:bCs/>
          <w:b/>
        </w:rPr>
        <w:t xml:space="preserve">Workforce Shortages:</w:t>
      </w:r>
      <w:r>
        <w:t xml:space="preserve"> </w:t>
      </w:r>
      <w:r>
        <w:t xml:space="preserve">Victoria's ophthalmology workforce shortage (18% deficit) impacts procedure scheduling. We're addressing this through a targeted graduate training program with University of Melbourne.</w:t>
      </w:r>
    </w:p>
    <w:p>
      <w:pPr>
        <w:numPr>
          <w:ilvl w:val="0"/>
          <w:numId w:val="1002"/>
        </w:numPr>
        <w:pStyle w:val="Compact"/>
      </w:pPr>
      <w:r>
        <w:rPr>
          <w:bCs/>
          <w:b/>
        </w:rPr>
        <w:t xml:space="preserve">Pricing Pressures:</w:t>
      </w:r>
      <w:r>
        <w:t xml:space="preserve"> </w:t>
      </w:r>
      <w:r>
        <w:t xml:space="preserve">Medicare rebates for cataract surgery remain below cost recovery rates, requiring strategic private service expansion to maintain viability.</w:t>
      </w:r>
    </w:p>
    <w:bookmarkEnd w:id="30"/>
    <w:bookmarkStart w:id="31" w:name="emerging-opportunities"/>
    <w:p>
      <w:pPr>
        <w:pStyle w:val="Heading3"/>
      </w:pPr>
      <w:r>
        <w:t xml:space="preserve">Emerging Opportunities:</w:t>
      </w:r>
    </w:p>
    <w:p>
      <w:pPr>
        <w:numPr>
          <w:ilvl w:val="0"/>
          <w:numId w:val="1003"/>
        </w:numPr>
        <w:pStyle w:val="Compact"/>
      </w:pPr>
      <w:r>
        <w:rPr>
          <w:bCs/>
          <w:b/>
        </w:rPr>
        <w:t xml:space="preserve">AI Diagnostic Tools:</w:t>
      </w:r>
      <w:r>
        <w:t xml:space="preserve"> </w:t>
      </w:r>
      <w:r>
        <w:t xml:space="preserve">Early trials with AI retinal analysis software (approved by TGA) will launch in Q1 2024, projected to increase diagnostic efficiency by 40% and attract $500k+ in new revenue streams.</w:t>
      </w:r>
    </w:p>
    <w:p>
      <w:pPr>
        <w:numPr>
          <w:ilvl w:val="0"/>
          <w:numId w:val="1003"/>
        </w:numPr>
        <w:pStyle w:val="Compact"/>
      </w:pPr>
      <w:r>
        <w:rPr>
          <w:bCs/>
          <w:b/>
        </w:rPr>
        <w:t xml:space="preserve">Multicultural Health Outreach:</w:t>
      </w:r>
      <w:r>
        <w:t xml:space="preserve"> </w:t>
      </w:r>
      <w:r>
        <w:t xml:space="preserve">With Melbourne's Asian and Middle Eastern communities growing at 5.3% annually, we're developing culturally specific eye health programs targeting Vietnamese, Greek, and Indian populations – a market untapped by competitors.</w:t>
      </w:r>
    </w:p>
    <w:bookmarkEnd w:id="31"/>
    <w:bookmarkEnd w:id="32"/>
    <w:bookmarkStart w:id="33" w:name="conclusion-strategic-recommendations"/>
    <w:p>
      <w:pPr>
        <w:pStyle w:val="Heading2"/>
      </w:pPr>
      <w:r>
        <w:t xml:space="preserve">6. Conclusion &amp; Strategic Recommendations</w:t>
      </w:r>
    </w:p>
    <w:p>
      <w:pPr>
        <w:pStyle w:val="FirstParagraph"/>
      </w:pPr>
      <w:r>
        <w:t xml:space="preserve">The Q3 Sales Report for Australia Melbourne unequivocally demonstrates our practice's leadership in the ophthalmology sector. Our revenue growth trajectory (14.7% YoY) significantly outperforms the Australian industry average of 8.2%. Crucially, this success stems from our unwavering commitment to patient-centric care within Melbourne's unique healthcare ecosystem.</w:t>
      </w:r>
    </w:p>
    <w:p>
      <w:pPr>
        <w:pStyle w:val="BodyText"/>
      </w:pPr>
      <w:r>
        <w:t xml:space="preserve">For sustained growth in Australia Melbourne, we recommend:</w:t>
      </w:r>
    </w:p>
    <w:p>
      <w:pPr>
        <w:numPr>
          <w:ilvl w:val="0"/>
          <w:numId w:val="1004"/>
        </w:numPr>
        <w:pStyle w:val="Compact"/>
      </w:pPr>
      <w:r>
        <w:rPr>
          <w:bCs/>
          <w:b/>
        </w:rPr>
        <w:t xml:space="preserve">Expand Telehealth Infrastructure:</w:t>
      </w:r>
      <w:r>
        <w:t xml:space="preserve"> </w:t>
      </w:r>
      <w:r>
        <w:t xml:space="preserve">Allocate $250k to enhance "Melbourne EyeConnect" for rural outreach, targeting 30% revenue from regional patients by 2025</w:t>
      </w:r>
    </w:p>
    <w:p>
      <w:pPr>
        <w:numPr>
          <w:ilvl w:val="0"/>
          <w:numId w:val="1004"/>
        </w:numPr>
        <w:pStyle w:val="Compact"/>
      </w:pPr>
      <w:r>
        <w:rPr>
          <w:bCs/>
          <w:b/>
        </w:rPr>
        <w:t xml:space="preserve">Forge University Partnerships:</w:t>
      </w:r>
      <w:r>
        <w:t xml:space="preserve"> </w:t>
      </w:r>
      <w:r>
        <w:t xml:space="preserve">Establish an ophthalmology research hub with Monash University to secure government grants and develop AI tools</w:t>
      </w:r>
    </w:p>
    <w:p>
      <w:pPr>
        <w:numPr>
          <w:ilvl w:val="0"/>
          <w:numId w:val="1004"/>
        </w:numPr>
        <w:pStyle w:val="Compact"/>
      </w:pPr>
      <w:r>
        <w:rPr>
          <w:bCs/>
          <w:b/>
        </w:rPr>
        <w:t xml:space="preserve">Launch "Vision Equity" Initiative:</w:t>
      </w:r>
      <w:r>
        <w:t xml:space="preserve"> </w:t>
      </w:r>
      <w:r>
        <w:t xml:space="preserve">Partner with NDIS to provide subsidized care for Melbourne's disability community, unlocking $1.2M in potential revenue annually</w:t>
      </w:r>
    </w:p>
    <w:p>
      <w:pPr>
        <w:pStyle w:val="FirstParagraph"/>
      </w:pPr>
      <w:r>
        <w:t xml:space="preserve">This Sales Report confirms that as an Australia Melbourne-based practice, we're not merely delivering eye care services – we're actively shaping the future of ophthalmology in our nation. Our success proves that when medical excellence aligns with community needs within Australia's healthcare framework, exceptional patient outcomes and sustainable business growth become mutually achievable. The path forward requires continued innovation as the preferred</w:t>
      </w:r>
      <w:r>
        <w:t xml:space="preserve"> </w:t>
      </w:r>
      <w:r>
        <w:rPr>
          <w:iCs/>
          <w:i/>
        </w:rPr>
        <w:t xml:space="preserve">Ophthalmologist</w:t>
      </w:r>
      <w:r>
        <w:t xml:space="preserve"> </w:t>
      </w:r>
      <w:r>
        <w:t xml:space="preserve">provider across Melbourne, ensuring we remain at the vanguard of eye health for all Victorians.</w:t>
      </w:r>
    </w:p>
    <w:bookmarkEnd w:id="33"/>
    <w:bookmarkStart w:id="34"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(AUD)</w:t>
      </w:r>
    </w:p>
    <w:p>
      <w:pPr>
        <w:pStyle w:val="BodyText"/>
      </w:pPr>
      <w:r>
        <w:t xml:space="preserve">$2,584,000</w:t>
      </w:r>
    </w:p>
    <w:p>
      <w:pPr>
        <w:pStyle w:val="BodyText"/>
      </w:pPr>
      <w:r>
        <w:t xml:space="preserve">$2,415,000</w:t>
      </w:r>
    </w:p>
    <w:p>
      <w:pPr>
        <w:pStyle w:val="BodyText"/>
      </w:pPr>
      <w:r>
        <w:t xml:space="preserve">+6.98%</w:t>
      </w:r>
    </w:p>
    <w:p>
      <w:pPr>
        <w:pStyle w:val="BodyText"/>
      </w:pPr>
      <w:r>
        <w:t xml:space="preserve">Revenue per Patient Visit</w:t>
      </w:r>
    </w:p>
    <w:p>
      <w:pPr>
        <w:pStyle w:val="BodyText"/>
      </w:pPr>
      <w:r>
        <w:t xml:space="preserve">$713</w:t>
      </w:r>
    </w:p>
    <w:p>
      <w:pPr>
        <w:pStyle w:val="BodyText"/>
      </w:pPr>
      <w:r>
        <w:rPr>
          <w:bCs/>
          <w:b/>
        </w:rPr>
        <w:t xml:space="preserve">Prepared By:</w:t>
      </w:r>
      <w:r>
        <w:t xml:space="preserve"> </w:t>
      </w:r>
      <w:r>
        <w:t xml:space="preserve">Melbourne Ophthalmology Sales Leadership</w:t>
      </w:r>
      <w:r>
        <w:br/>
      </w:r>
      <w:r>
        <w:rPr>
          <w:bCs/>
          <w:b/>
        </w:rPr>
        <w:t xml:space="preserve">Approved By:</w:t>
      </w:r>
      <w:r>
        <w:t xml:space="preserve"> </w:t>
      </w:r>
      <w:r>
        <w:t xml:space="preserve">Chief Medical Officer, Australia Melbourne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Australia Melbourne</dc:title>
  <dc:creator/>
  <dc:language>en</dc:language>
  <cp:keywords/>
  <dcterms:created xsi:type="dcterms:W3CDTF">2026-07-23T09:44:37Z</dcterms:created>
  <dcterms:modified xsi:type="dcterms:W3CDTF">2026-07-23T09:44:37Z</dcterms:modified>
</cp:coreProperties>
</file>

<file path=docProps/custom.xml><?xml version="1.0" encoding="utf-8"?>
<Properties xmlns="http://schemas.openxmlformats.org/officeDocument/2006/custom-properties" xmlns:vt="http://schemas.openxmlformats.org/officeDocument/2006/docPropsVTypes"/>
</file>