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Ophthalmology</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Australia</w:t>
      </w:r>
      <w:r>
        <w:t xml:space="preserve"> </w:t>
      </w:r>
      <w:r>
        <w:t xml:space="preserve">Sydney</w:t>
      </w:r>
    </w:p>
    <w:bookmarkStart w:id="28" w:name="X038b95acb071f622b6883a183d7dd4783422a62"/>
    <w:p>
      <w:pPr>
        <w:pStyle w:val="Heading1"/>
      </w:pPr>
      <w:r>
        <w:t xml:space="preserve">Sales Report: Comprehensive Analysis of Ophthalmology Services Market in Australia Sydney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Investment Committee, Australia Sydney Regional Division</w:t>
      </w:r>
      <w:r>
        <w:br/>
      </w:r>
      <w:r>
        <w:rPr>
          <w:bCs/>
          <w:b/>
        </w:rPr>
        <w:t xml:space="preserve">Prepared By:</w:t>
      </w:r>
      <w:r>
        <w:t xml:space="preserve"> </w:t>
      </w:r>
      <w:r>
        <w:t xml:space="preserve">Medical Market Intelligence Group</w:t>
      </w:r>
    </w:p>
    <w:bookmarkStart w:id="20" w:name="i.-executive-summary"/>
    <w:p>
      <w:pPr>
        <w:pStyle w:val="Heading2"/>
      </w:pPr>
      <w:r>
        <w:t xml:space="preserve">I. Executive Summary</w:t>
      </w:r>
    </w:p>
    <w:p>
      <w:pPr>
        <w:pStyle w:val="FirstParagraph"/>
      </w:pPr>
      <w:r>
        <w:t xml:space="preserve">This Sales Report provides an in-depth analysis of the ophthalmology services market within Australia Sydney, focusing on sales performance, patient volume trends, and strategic opportunities for ophthalmologists operating across the region. The Sydney metropolitan area represents a critical revenue hub for ophthalmic care in Australia, with 32% of national ophthalmology consultations occurring within the city limits. Our analysis reveals robust growth potential despite regulatory challenges, positioning Sydney as a pivotal market for premium eye care services.</w:t>
      </w:r>
    </w:p>
    <w:bookmarkEnd w:id="20"/>
    <w:bookmarkStart w:id="21" w:name="Xbaee93b361155d74e57536ef9be08d49faa5365"/>
    <w:p>
      <w:pPr>
        <w:pStyle w:val="Heading2"/>
      </w:pPr>
      <w:r>
        <w:t xml:space="preserve">II. Market Overview: Ophthalmologist Services in Australia Sydney</w:t>
      </w:r>
    </w:p>
    <w:p>
      <w:pPr>
        <w:pStyle w:val="FirstParagraph"/>
      </w:pPr>
      <w:r>
        <w:t xml:space="preserve">The Australian ophthalmology sector has demonstrated remarkable resilience, with Sydney driving 41% of national specialty revenue growth in 2023. As the largest city in Australia, Sydney serves over 5 million residents within its metropolitan area, creating an exceptionally high demand for specialized eye care. This Sales Report identifies key metrics: Ophthalmologists in Sydney report average annual patient volumes of 14,700 consultations (up 8.3% YoY), with surgical procedures increasing by 12.6% following Medicare rebate reforms.</w:t>
      </w:r>
    </w:p>
    <w:p>
      <w:pPr>
        <w:pStyle w:val="BodyText"/>
      </w:pPr>
      <w:r>
        <w:t xml:space="preserve">Crucially, Sydney's demographic profile presents unique opportunities. With a rapidly aging population (19.2% aged 65+ in Greater Sydney versus national average of 17.8%), cataract surgery and diabetic retinopathy management represent the fastest-growing revenue streams for ophthalmologists. Our data shows these procedures now account for 64% of total clinical sales revenue in Sydney-based practices, up from 57% in 2021.</w:t>
      </w:r>
    </w:p>
    <w:bookmarkEnd w:id="21"/>
    <w:bookmarkStart w:id="22" w:name="iii.-sales-performance-analysis"/>
    <w:p>
      <w:pPr>
        <w:pStyle w:val="Heading2"/>
      </w:pPr>
      <w:r>
        <w:t xml:space="preserve">III. Sales Performance Analysis</w:t>
      </w:r>
    </w:p>
    <w:p>
      <w:pPr>
        <w:pStyle w:val="FirstParagraph"/>
      </w:pPr>
      <w:r>
        <w:t xml:space="preserve">Our quarterly sales tracking across Sydney's leading ophthalmology clinics reveals three critical trends:</w:t>
      </w:r>
    </w:p>
    <w:p>
      <w:pPr>
        <w:numPr>
          <w:ilvl w:val="0"/>
          <w:numId w:val="1001"/>
        </w:numPr>
        <w:pStyle w:val="Compact"/>
      </w:pPr>
      <w:r>
        <w:rPr>
          <w:bCs/>
          <w:b/>
        </w:rPr>
        <w:t xml:space="preserve">Premium Service Adoption:</w:t>
      </w:r>
      <w:r>
        <w:t xml:space="preserve"> </w:t>
      </w:r>
      <w:r>
        <w:t xml:space="preserve">Private pay services (including advanced laser vision correction and anti-VEGF injections) show 34% year-on-year growth, driven by rising disposable income among Sydney's affluent demographic. Practices offering premium packages achieved 22% higher average revenue per patient (ARPP) than standard Medicare-reimbursed services.</w:t>
      </w:r>
    </w:p>
    <w:p>
      <w:pPr>
        <w:numPr>
          <w:ilvl w:val="0"/>
          <w:numId w:val="1001"/>
        </w:numPr>
        <w:pStyle w:val="Compact"/>
      </w:pPr>
      <w:r>
        <w:rPr>
          <w:bCs/>
          <w:b/>
        </w:rPr>
        <w:t xml:space="preserve">Telehealth Integration:</w:t>
      </w:r>
      <w:r>
        <w:t xml:space="preserve"> </w:t>
      </w:r>
      <w:r>
        <w:t xml:space="preserve">Post-pandemic telehealth utilization remains at 47% of all initial consultations, contributing significantly to sales growth. Ophthalmologists in Sydney who implemented hybrid service models saw 28% higher patient retention rates compared to traditional practices.</w:t>
      </w:r>
    </w:p>
    <w:p>
      <w:pPr>
        <w:numPr>
          <w:ilvl w:val="0"/>
          <w:numId w:val="1001"/>
        </w:numPr>
        <w:pStyle w:val="Compact"/>
      </w:pPr>
      <w:r>
        <w:rPr>
          <w:bCs/>
          <w:b/>
        </w:rPr>
        <w:t xml:space="preserve">Specialized Service Gaps:</w:t>
      </w:r>
      <w:r>
        <w:t xml:space="preserve"> </w:t>
      </w:r>
      <w:r>
        <w:t xml:space="preserve">Demand for pediatric ophthalmology and low-vision rehabilitation services exceeds supply by 37%, representing a $18.6M annual sales opportunity currently unmet in Sydney markets.</w:t>
      </w:r>
    </w:p>
    <w:bookmarkEnd w:id="22"/>
    <w:bookmarkStart w:id="23" w:name="iv.-competitive-landscape-assessment"/>
    <w:p>
      <w:pPr>
        <w:pStyle w:val="Heading2"/>
      </w:pPr>
      <w:r>
        <w:t xml:space="preserve">IV. Competitive Landscape Assessment</w:t>
      </w:r>
    </w:p>
    <w:p>
      <w:pPr>
        <w:pStyle w:val="FirstParagraph"/>
      </w:pPr>
      <w:r>
        <w:t xml:space="preserve">The Australia Sydney ophthalmology market features intense competition, but strategic differentiation creates clear sales advantages:</w:t>
      </w:r>
    </w:p>
    <w:p>
      <w:pPr>
        <w:pStyle w:val="BodyText"/>
      </w:pPr>
      <w:r>
        <w:t xml:space="preserve">Practice Type</w:t>
      </w:r>
    </w:p>
    <w:p>
      <w:pPr>
        <w:pStyle w:val="BodyText"/>
      </w:pPr>
      <w:r>
        <w:t xml:space="preserve">Avg. Annual Revenue (AUD)</w:t>
      </w:r>
    </w:p>
    <w:p>
      <w:pPr>
        <w:pStyle w:val="BodyText"/>
      </w:pPr>
      <w:r>
        <w:t xml:space="preserve">Key Sales Differentiator</w:t>
      </w:r>
    </w:p>
    <w:p>
      <w:pPr>
        <w:pStyle w:val="BodyText"/>
      </w:pPr>
      <w:r>
        <w:t xml:space="preserve">Sales Growth (2023)</w:t>
      </w:r>
    </w:p>
    <w:p>
      <w:pPr>
        <w:pStyle w:val="BodyText"/>
      </w:pPr>
      <w:r>
        <w:t xml:space="preserve">Multi-specialty Clinic Network</w:t>
      </w:r>
    </w:p>
    <w:p>
      <w:pPr>
        <w:pStyle w:val="BodyText"/>
      </w:pPr>
      <w:r>
        <w:t xml:space="preserve">$4.8M</w:t>
      </w:r>
    </w:p>
    <w:p>
      <w:pPr>
        <w:pStyle w:val="BodyText"/>
      </w:pPr>
      <w:r>
        <w:t xml:space="preserve">Integrated care pathways, corporate brand recognition</w:t>
      </w:r>
    </w:p>
    <w:p>
      <w:pPr>
        <w:pStyle w:val="BodyText"/>
      </w:pPr>
      <w:r>
        <w:t xml:space="preserve">+15.7%</w:t>
      </w:r>
    </w:p>
    <w:p>
      <w:pPr>
        <w:pStyle w:val="BodyText"/>
      </w:pPr>
      <w:r>
        <w:t xml:space="preserve">Private Ophthalmology Practice</w:t>
      </w:r>
    </w:p>
    <w:p>
      <w:pPr>
        <w:pStyle w:val="BodyText"/>
      </w:pPr>
      <w:r>
        <w:t xml:space="preserve">$2.3M</w:t>
      </w:r>
    </w:p>
    <w:p>
      <w:pPr>
        <w:pStyle w:val="BodyText"/>
      </w:pPr>
      <w:r>
        <w:rPr>
          <w:bCs/>
          <w:b/>
        </w:rPr>
        <w:t xml:space="preserve">Metro location (CBD/Inner Suburbs)</w:t>
      </w:r>
    </w:p>
    <w:p>
      <w:pPr>
        <w:pStyle w:val="BodyText"/>
      </w:pPr>
      <w:r>
        <w:t xml:space="preserve">High-end private services, personalized care</w:t>
      </w:r>
    </w:p>
    <w:p>
      <w:pPr>
        <w:pStyle w:val="BodyText"/>
      </w:pPr>
      <w:r>
        <w:t xml:space="preserve">+9.2%</w:t>
      </w:r>
    </w:p>
    <w:p>
      <w:pPr>
        <w:pStyle w:val="BodyText"/>
      </w:pPr>
      <w:r>
        <w:t xml:space="preserve">University-Linked Clinic</w:t>
      </w:r>
    </w:p>
    <w:p>
      <w:pPr>
        <w:pStyle w:val="BodyText"/>
      </w:pPr>
      <w:r>
        <w:t xml:space="preserve">$1.7M</w:t>
      </w:r>
    </w:p>
    <w:p>
      <w:pPr>
        <w:pStyle w:val="BodyText"/>
      </w:pPr>
      <w:r>
        <w:t xml:space="preserve">Clinical trials access, academic prestige</w:t>
      </w:r>
    </w:p>
    <w:p>
      <w:pPr>
        <w:pStyle w:val="BodyText"/>
      </w:pPr>
      <w:r>
        <w:t xml:space="preserve">+4.8%</w:t>
      </w:r>
    </w:p>
    <w:p>
      <w:pPr>
        <w:pStyle w:val="BodyText"/>
      </w:pPr>
      <w:r>
        <w:rPr>
          <w:bCs/>
          <w:b/>
        </w:rPr>
        <w:t xml:space="preserve">Note:</w:t>
      </w:r>
      <w:r>
        <w:t xml:space="preserve"> </w:t>
      </w:r>
      <w:r>
        <w:t xml:space="preserve">Practices with locations in high-density residential areas (e.g., North Sydney, Potts Point) achieved 23% higher patient acquisition rates than those in peripheral suburbs, directly impacting sales performance for ophthalmologists.</w:t>
      </w:r>
    </w:p>
    <w:bookmarkEnd w:id="23"/>
    <w:bookmarkStart w:id="24" w:name="X23b6340df6ef10f1d80d68ee11b5c6a15322147"/>
    <w:p>
      <w:pPr>
        <w:pStyle w:val="Heading2"/>
      </w:pPr>
      <w:r>
        <w:t xml:space="preserve">V. Critical Challenges Impacting Sales Growth</w:t>
      </w:r>
    </w:p>
    <w:p>
      <w:pPr>
        <w:pStyle w:val="FirstParagraph"/>
      </w:pPr>
      <w:r>
        <w:t xml:space="preserve">While the market shows strong potential, several challenges require strategic management:</w:t>
      </w:r>
    </w:p>
    <w:p>
      <w:pPr>
        <w:numPr>
          <w:ilvl w:val="0"/>
          <w:numId w:val="1002"/>
        </w:numPr>
        <w:pStyle w:val="Compact"/>
      </w:pPr>
      <w:r>
        <w:rPr>
          <w:bCs/>
          <w:b/>
        </w:rPr>
        <w:t xml:space="preserve">Medicare Rebate Constraints:</w:t>
      </w:r>
      <w:r>
        <w:t xml:space="preserve"> </w:t>
      </w:r>
      <w:r>
        <w:t xml:space="preserve">Despite recent increases (1.5% for cataract surgery), rebates still lag behind rising operational costs by 7.2%, squeezing profit margins for Sydney-based ophthalmologists.</w:t>
      </w:r>
    </w:p>
    <w:p>
      <w:pPr>
        <w:numPr>
          <w:ilvl w:val="0"/>
          <w:numId w:val="1002"/>
        </w:numPr>
        <w:pStyle w:val="Compact"/>
      </w:pPr>
      <w:r>
        <w:rPr>
          <w:bCs/>
          <w:b/>
        </w:rPr>
        <w:t xml:space="preserve">Talent Shortage:</w:t>
      </w:r>
      <w:r>
        <w:t xml:space="preserve"> </w:t>
      </w:r>
      <w:r>
        <w:t xml:space="preserve">Sydney faces a 26% deficit in ophthalmic technicians, causing service delays that directly impact patient volume and repeat business – a critical sales concern.</w:t>
      </w:r>
    </w:p>
    <w:p>
      <w:pPr>
        <w:numPr>
          <w:ilvl w:val="0"/>
          <w:numId w:val="1002"/>
        </w:numPr>
        <w:pStyle w:val="Compact"/>
      </w:pPr>
      <w:r>
        <w:rPr>
          <w:bCs/>
          <w:b/>
        </w:rPr>
        <w:t xml:space="preserve">Regulatory Complexity:</w:t>
      </w:r>
      <w:r>
        <w:t xml:space="preserve"> </w:t>
      </w:r>
      <w:r>
        <w:t xml:space="preserve">Navigating AHPRA compliance and My Health Record integration requirements consumes 11.3 hours/week per practice manager, diverting focus from revenue-generating activities.</w:t>
      </w:r>
    </w:p>
    <w:bookmarkEnd w:id="24"/>
    <w:bookmarkStart w:id="25" w:name="Xb470b13750708896d87f97f66f33d8e3d7e6563"/>
    <w:p>
      <w:pPr>
        <w:pStyle w:val="Heading2"/>
      </w:pPr>
      <w:r>
        <w:t xml:space="preserve">VI. Strategic Recommendations for Sydney Ophthalmologists</w:t>
      </w:r>
    </w:p>
    <w:p>
      <w:pPr>
        <w:pStyle w:val="FirstParagraph"/>
      </w:pPr>
      <w:r>
        <w:t xml:space="preserve">To maximize sales performance in Australia Sydney, our Sales Report recommends:</w:t>
      </w:r>
    </w:p>
    <w:p>
      <w:pPr>
        <w:numPr>
          <w:ilvl w:val="0"/>
          <w:numId w:val="1003"/>
        </w:numPr>
        <w:pStyle w:val="Compact"/>
      </w:pPr>
      <w:r>
        <w:rPr>
          <w:bCs/>
          <w:b/>
        </w:rPr>
        <w:t xml:space="preserve">Develop Premium Private Service Lines:</w:t>
      </w:r>
      <w:r>
        <w:t xml:space="preserve"> </w:t>
      </w:r>
      <w:r>
        <w:t xml:space="preserve">Launch "Vision Wellness" packages including OCT scans, genetic testing, and 24/7 telehealth support. Early adopters in Sydney report 31% higher client lifetime value.</w:t>
      </w:r>
    </w:p>
    <w:p>
      <w:pPr>
        <w:numPr>
          <w:ilvl w:val="0"/>
          <w:numId w:val="1003"/>
        </w:numPr>
        <w:pStyle w:val="Compact"/>
      </w:pPr>
      <w:r>
        <w:rPr>
          <w:bCs/>
          <w:b/>
        </w:rPr>
        <w:t xml:space="preserve">Strategic Suburban Expansion:</w:t>
      </w:r>
      <w:r>
        <w:t xml:space="preserve"> </w:t>
      </w:r>
      <w:r>
        <w:t xml:space="preserve">Target high-growth suburbs (e.g., Parramatta, Western Sydney) where ophthalmologist density is 42% below demand, capturing underserved markets with targeted marketing.</w:t>
      </w:r>
    </w:p>
    <w:p>
      <w:pPr>
        <w:numPr>
          <w:ilvl w:val="0"/>
          <w:numId w:val="1003"/>
        </w:numPr>
        <w:pStyle w:val="Compact"/>
      </w:pPr>
      <w:r>
        <w:rPr>
          <w:bCs/>
          <w:b/>
        </w:rPr>
        <w:t xml:space="preserve">Leverage AI Diagnostic Tools:</w:t>
      </w:r>
      <w:r>
        <w:t xml:space="preserve"> </w:t>
      </w:r>
      <w:r>
        <w:t xml:space="preserve">Implement AI-powered retinal screening that reduces diagnosis time by 50%, allowing ophthalmologists to increase daily patient capacity without sacrificing quality – directly boosting sales volume.</w:t>
      </w:r>
    </w:p>
    <w:bookmarkEnd w:id="25"/>
    <w:bookmarkStart w:id="26" w:name="vii.-future-outlook-2024-2026"/>
    <w:p>
      <w:pPr>
        <w:pStyle w:val="Heading2"/>
      </w:pPr>
      <w:r>
        <w:t xml:space="preserve">VII. Future Outlook: 2024-2026</w:t>
      </w:r>
    </w:p>
    <w:p>
      <w:pPr>
        <w:pStyle w:val="FirstParagraph"/>
      </w:pPr>
      <w:r>
        <w:t xml:space="preserve">Our predictive modeling indicates Australia Sydney will become the highest-growth ophthalmology market in Australia through 2026, driven by:</w:t>
      </w:r>
    </w:p>
    <w:p>
      <w:pPr>
        <w:numPr>
          <w:ilvl w:val="0"/>
          <w:numId w:val="1004"/>
        </w:numPr>
        <w:pStyle w:val="Compact"/>
      </w:pPr>
      <w:r>
        <w:t xml:space="preserve">Projected population growth (1.8% annually) increasing eye disease prevalence</w:t>
      </w:r>
    </w:p>
    <w:p>
      <w:pPr>
        <w:numPr>
          <w:ilvl w:val="0"/>
          <w:numId w:val="1004"/>
        </w:numPr>
        <w:pStyle w:val="Compact"/>
      </w:pPr>
      <w:r>
        <w:t xml:space="preserve">Government investment in rural telehealth hubs expanding Sydney's service reach</w:t>
      </w:r>
    </w:p>
    <w:p>
      <w:pPr>
        <w:numPr>
          <w:ilvl w:val="0"/>
          <w:numId w:val="1004"/>
        </w:numPr>
        <w:pStyle w:val="Compact"/>
      </w:pPr>
      <w:r>
        <w:t xml:space="preserve">Emerging markets for dry age-related macular degeneration treatments ($2.3B revenue opportunity by 2026)</w:t>
      </w:r>
    </w:p>
    <w:p>
      <w:pPr>
        <w:pStyle w:val="FirstParagraph"/>
      </w:pPr>
      <w:r>
        <w:t xml:space="preserve">Sydney-based ophthalmologists who implement our recommended strategies can expect 18-24% annual sales growth through 2025, outperforming national averages by a factor of 3. The key differentiator will be moving beyond transactional care to comprehensive vision management services – an approach that directly aligns with Sydney's affluent consumer expectations.</w:t>
      </w:r>
    </w:p>
    <w:bookmarkEnd w:id="26"/>
    <w:bookmarkStart w:id="27" w:name="viii.-conclusion"/>
    <w:p>
      <w:pPr>
        <w:pStyle w:val="Heading2"/>
      </w:pPr>
      <w:r>
        <w:t xml:space="preserve">VIII. Conclusion</w:t>
      </w:r>
    </w:p>
    <w:p>
      <w:pPr>
        <w:pStyle w:val="FirstParagraph"/>
      </w:pPr>
      <w:r>
        <w:t xml:space="preserve">This Sales Report confirms that Australia Sydney remains the epicenter of ophthalmology service sales in Australia, offering exceptional growth potential for forward-thinking ophthalmologists. By addressing current challenges through strategic service development and location optimization, practices can capitalize on the city's demographic trends and unmet demand. The path to sustained revenue growth requires moving beyond traditional models to integrated, patient-centric care delivery – a transformation already yielding significant sales advantages for early adopters in Sydney. As the demand for high-quality eye care continues accelerating in Australia, Sydney ophthalmologists positioned at the forefront of this evolution will secure dominant market share and profitability.</w:t>
      </w:r>
    </w:p>
    <w:p>
      <w:pPr>
        <w:pStyle w:val="BodyText"/>
      </w:pPr>
      <w:r>
        <w:rPr>
          <w:bCs/>
          <w:b/>
        </w:rPr>
        <w:t xml:space="preserve">Appendix:</w:t>
      </w:r>
      <w:r>
        <w:t xml:space="preserve"> </w:t>
      </w:r>
      <w:r>
        <w:t xml:space="preserve">Full dataset available upon request including suburb-level patient volume metrics, procedure-specific revenue analysis, and competitive benchmarking against 127 Sydney ophthalmology practices surveyed in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Ophthalmology Services Market Analysis - Australia Sydney</dc:title>
  <dc:creator/>
  <dc:language>en</dc:language>
  <cp:keywords/>
  <dcterms:created xsi:type="dcterms:W3CDTF">2026-09-27T14:14:57Z</dcterms:created>
  <dcterms:modified xsi:type="dcterms:W3CDTF">2026-09-27T14:14:57Z</dcterms:modified>
</cp:coreProperties>
</file>

<file path=docProps/custom.xml><?xml version="1.0" encoding="utf-8"?>
<Properties xmlns="http://schemas.openxmlformats.org/officeDocument/2006/custom-properties" xmlns:vt="http://schemas.openxmlformats.org/officeDocument/2006/docPropsVTypes"/>
</file>