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Ophthalmologist</w:t>
      </w:r>
      <w:r>
        <w:t xml:space="preserve"> </w:t>
      </w:r>
      <w:r>
        <w:t xml:space="preserve">Market</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f9a32fc0a9b95a09b57b754fbd12f1000102e3e"/>
    <w:p>
      <w:pPr>
        <w:pStyle w:val="Heading1"/>
      </w:pPr>
      <w:r>
        <w:t xml:space="preserve">Annual Sales Report: Ophthalmologist Services &amp; Solutions in Belgium Brussels (2023)</w:t>
      </w:r>
    </w:p>
    <w:bookmarkStart w:id="20" w:name="executive-summary"/>
    <w:p>
      <w:pPr>
        <w:pStyle w:val="Heading2"/>
      </w:pPr>
      <w:r>
        <w:t xml:space="preserve">Executive Summary</w:t>
      </w:r>
    </w:p>
    <w:p>
      <w:pPr>
        <w:pStyle w:val="FirstParagraph"/>
      </w:pPr>
      <w:r>
        <w:t xml:space="preserve">This comprehensive Sales Report details the performance of ophthalmology services and medical solutions within the Belgium Brussels healthcare ecosystem during 2023. As a leading provider of specialized eye care products and technologies, our strategic focus on Belgium Brussels has yielded significant growth, driven by the region's advanced healthcare infrastructure and high demand for ophthalmologist expertise. The data presented underscores a 18.7% year-over-year revenue increase in ophthalmologist-aligned services, solidifying Brussels as a critical market for vision care innovation. This report confirms that strategic investments targeting Belgium Brussels' unique medical landscape are delivering exceptional returns.</w:t>
      </w:r>
    </w:p>
    <w:bookmarkEnd w:id="20"/>
    <w:bookmarkStart w:id="21" w:name="Xb1d51250d17278fb72e063d7ad182e2c50ac62a"/>
    <w:p>
      <w:pPr>
        <w:pStyle w:val="Heading2"/>
      </w:pPr>
      <w:r>
        <w:t xml:space="preserve">Market Context: Belgium Brussels Ophthalmologist Landscape</w:t>
      </w:r>
    </w:p>
    <w:p>
      <w:pPr>
        <w:pStyle w:val="FirstParagraph"/>
      </w:pPr>
      <w:r>
        <w:t xml:space="preserve">Belgium Brussels serves as the epicenter of ophthalmology in Western Europe, housing 37 specialized eye hospitals and over 150 certified ophthalmologists within the metropolitan area. The region's aging population (24% aged 60+) and high prevalence of diabetic retinopathy (18.3%) have intensified demand for advanced diagnostic and surgical services. Crucially, Belgium's healthcare system prioritizes preventative eye care, creating a fertile environment for premium ophthalmologist services. This Sales Report confirms that Belgium Brussels accounts for 32% of all high-complexity ophthalmic procedures in Benelux—outpacing other European capitals by 17 percentage points. The presence of institutions like the University Hospitals of Brussels (UZ Brussel) and the Belgian Ophthalmological Society further elevates market sophistication.</w:t>
      </w:r>
    </w:p>
    <w:bookmarkEnd w:id="21"/>
    <w:bookmarkStart w:id="22" w:name="sales-performance-highlights"/>
    <w:p>
      <w:pPr>
        <w:pStyle w:val="Heading2"/>
      </w:pPr>
      <w:r>
        <w:t xml:space="preserve">2023 Sales Performance Highlights</w:t>
      </w:r>
    </w:p>
    <w:p>
      <w:pPr>
        <w:pStyle w:val="FirstParagraph"/>
      </w:pPr>
      <w:r>
        <w:t xml:space="preserve">Our direct sales to ophthalmologists in Belgium Brussels reached €4.7M in 2023, reflecting a 18.7% increase from 2022. This growth stems from three strategic pillars:</w:t>
      </w:r>
    </w:p>
    <w:p>
      <w:pPr>
        <w:numPr>
          <w:ilvl w:val="0"/>
          <w:numId w:val="1001"/>
        </w:numPr>
        <w:pStyle w:val="Compact"/>
      </w:pPr>
      <w:r>
        <w:rPr>
          <w:bCs/>
          <w:b/>
        </w:rPr>
        <w:t xml:space="preserve">Diagnostic Equipment:</w:t>
      </w:r>
      <w:r>
        <w:t xml:space="preserve"> </w:t>
      </w:r>
      <w:r>
        <w:t xml:space="preserve">A 31% surge in sales of OCT (Optical Coherence Tomography) systems following the Belgian Health Ministry's 2023 reimbursement update for macular degeneration screening. Ophthalmologists in Brussels now utilize these devices for early detection, with a 42% adoption rate among private practices.</w:t>
      </w:r>
    </w:p>
    <w:p>
      <w:pPr>
        <w:numPr>
          <w:ilvl w:val="0"/>
          <w:numId w:val="1001"/>
        </w:numPr>
        <w:pStyle w:val="Compact"/>
      </w:pPr>
      <w:r>
        <w:rPr>
          <w:bCs/>
          <w:b/>
        </w:rPr>
        <w:t xml:space="preserve">Surgical Solutions:</w:t>
      </w:r>
      <w:r>
        <w:t xml:space="preserve"> </w:t>
      </w:r>
      <w:r>
        <w:t xml:space="preserve">Cataract surgery kits saw 24% growth as Brussels ophthalmologists transitioned to premium IOL (Intraocular Lens) technology. The demand was amplified by Belgium's new public health initiative subsidizing vision correction for seniors.</w:t>
      </w:r>
    </w:p>
    <w:p>
      <w:pPr>
        <w:numPr>
          <w:ilvl w:val="0"/>
          <w:numId w:val="1001"/>
        </w:numPr>
        <w:pStyle w:val="Compact"/>
      </w:pPr>
      <w:r>
        <w:rPr>
          <w:bCs/>
          <w:b/>
        </w:rPr>
        <w:t xml:space="preserve">Digital Health Integration:</w:t>
      </w:r>
      <w:r>
        <w:t xml:space="preserve"> </w:t>
      </w:r>
      <w:r>
        <w:t xml:space="preserve">Tele-ophthalmology platforms recorded 39% YoY growth as Brussels-based ophthalmologists adopted remote monitoring for diabetic patients—reducing clinic wait times by 58% per a UZ Brussel study.</w:t>
      </w:r>
    </w:p>
    <w:bookmarkEnd w:id="22"/>
    <w:bookmarkStart w:id="26" w:name="key-regional-insights"/>
    <w:p>
      <w:pPr>
        <w:pStyle w:val="Heading2"/>
      </w:pPr>
      <w:r>
        <w:t xml:space="preserve">Key Regional Insights</w:t>
      </w:r>
    </w:p>
    <w:p>
      <w:pPr>
        <w:pStyle w:val="FirstParagraph"/>
      </w:pPr>
      <w:r>
        <w:t xml:space="preserve">The Sales Report reveals Belgium Brussels exhibits distinct characteristics requiring tailored solutions:</w:t>
      </w:r>
    </w:p>
    <w:bookmarkStart w:id="23" w:name="regulatory-environment"/>
    <w:p>
      <w:pPr>
        <w:pStyle w:val="Heading3"/>
      </w:pPr>
      <w:r>
        <w:t xml:space="preserve">1. Regulatory Environment</w:t>
      </w:r>
    </w:p>
    <w:p>
      <w:pPr>
        <w:pStyle w:val="FirstParagraph"/>
      </w:pPr>
      <w:r>
        <w:t xml:space="preserve">Belgium's strict medical device regulations (aligned with EU MDR 2017/745) necessitate specialized product certifications. Our Brussels team achieved 100% compliance for all ophthalmologist-facing products, a factor directly contributing to our 28% market share gain among private ophthalmology clinics. The recent Belgian Health Insurance (Mutualité) update simplifying reimbursement for AI-driven diagnostic tools has become a key sales driver.</w:t>
      </w:r>
    </w:p>
    <w:bookmarkEnd w:id="23"/>
    <w:bookmarkStart w:id="24" w:name="ophthalmologist-collaboration-model"/>
    <w:p>
      <w:pPr>
        <w:pStyle w:val="Heading3"/>
      </w:pPr>
      <w:r>
        <w:t xml:space="preserve">2. Ophthalmologist Collaboration Model</w:t>
      </w:r>
    </w:p>
    <w:p>
      <w:pPr>
        <w:pStyle w:val="FirstParagraph"/>
      </w:pPr>
      <w:r>
        <w:t xml:space="preserve">Brussels' ophthalmologists operate in a unique ecosystem: 68% work within hospital networks, while 32% run private practices. Our Sales Report shows that hospital-based ophthalmologists prioritize capital equipment (e.g., laser systems), whereas private practitioners invest heavily in diagnostic software and patient management tools. This bifurcation informed our tiered sales strategy, resulting in a 22% higher close rate for customized proposals.</w:t>
      </w:r>
    </w:p>
    <w:bookmarkEnd w:id="24"/>
    <w:bookmarkStart w:id="25" w:name="competitive-differentiation"/>
    <w:p>
      <w:pPr>
        <w:pStyle w:val="Heading3"/>
      </w:pPr>
      <w:r>
        <w:t xml:space="preserve">3. Competitive Differentiation</w:t>
      </w:r>
    </w:p>
    <w:p>
      <w:pPr>
        <w:pStyle w:val="FirstParagraph"/>
      </w:pPr>
      <w:r>
        <w:t xml:space="preserve">Unlike other European markets, Belgium Brussels features intense competition among medical device manufacturers (including German and French firms). Our Sales Report attributes our success to localized clinical support: we deploy dedicated ophthalmologist liaisons who conduct on-site training at clinics like Eye Clinic Saint-Pierre. This approach has reduced equipment adoption time by 40% compared to regional competitors.</w:t>
      </w:r>
    </w:p>
    <w:bookmarkEnd w:id="25"/>
    <w:bookmarkEnd w:id="26"/>
    <w:bookmarkStart w:id="27" w:name="challenges-strategic-recommendations"/>
    <w:p>
      <w:pPr>
        <w:pStyle w:val="Heading2"/>
      </w:pPr>
      <w:r>
        <w:t xml:space="preserve">Challenges &amp; Strategic Recommendations</w:t>
      </w:r>
    </w:p>
    <w:p>
      <w:pPr>
        <w:pStyle w:val="FirstParagraph"/>
      </w:pPr>
      <w:r>
        <w:t xml:space="preserve">Despite strong performance, the Sales Report identifies two critical challenges:</w:t>
      </w:r>
    </w:p>
    <w:p>
      <w:pPr>
        <w:numPr>
          <w:ilvl w:val="0"/>
          <w:numId w:val="1002"/>
        </w:numPr>
        <w:pStyle w:val="Compact"/>
      </w:pPr>
      <w:r>
        <w:rPr>
          <w:bCs/>
          <w:b/>
        </w:rPr>
        <w:t xml:space="preserve">Reimbursement Delays:</w:t>
      </w:r>
      <w:r>
        <w:t xml:space="preserve"> </w:t>
      </w:r>
      <w:r>
        <w:t xml:space="preserve">39% of Brussels ophthalmologists reported delays in billing for new technologies. Our solution: Launching a dedicated Belgium Brussels reimbursement support team in Q1 2024, targeting a 50% reduction in processing time.</w:t>
      </w:r>
    </w:p>
    <w:p>
      <w:pPr>
        <w:numPr>
          <w:ilvl w:val="0"/>
          <w:numId w:val="1002"/>
        </w:numPr>
        <w:pStyle w:val="Compact"/>
      </w:pPr>
      <w:r>
        <w:rPr>
          <w:bCs/>
          <w:b/>
        </w:rPr>
        <w:t xml:space="preserve">Talent Shortages:</w:t>
      </w:r>
      <w:r>
        <w:t xml:space="preserve"> </w:t>
      </w:r>
      <w:r>
        <w:t xml:space="preserve">Ophthalmologist vacancies have risen by 15% since 2021. We propose expanding our "Ophthalmologist Career Accelerator" program with Brussels universities to attract emerging specialists.</w:t>
      </w:r>
    </w:p>
    <w:bookmarkEnd w:id="27"/>
    <w:bookmarkStart w:id="28" w:name="future-outlook-for-belgium-brussels"/>
    <w:p>
      <w:pPr>
        <w:pStyle w:val="Heading2"/>
      </w:pPr>
      <w:r>
        <w:t xml:space="preserve">Future Outlook for Belgium Brussels</w:t>
      </w:r>
    </w:p>
    <w:p>
      <w:pPr>
        <w:pStyle w:val="FirstParagraph"/>
      </w:pPr>
      <w:r>
        <w:t xml:space="preserve">This Sales Report projects continued growth in ophthalmology services across Belgium Brussels, fueled by two megatrends:</w:t>
      </w:r>
    </w:p>
    <w:p>
      <w:pPr>
        <w:numPr>
          <w:ilvl w:val="0"/>
          <w:numId w:val="1003"/>
        </w:numPr>
        <w:pStyle w:val="Compact"/>
      </w:pPr>
      <w:r>
        <w:rPr>
          <w:bCs/>
          <w:b/>
        </w:rPr>
        <w:t xml:space="preserve">Aging Population:</w:t>
      </w:r>
      <w:r>
        <w:t xml:space="preserve"> </w:t>
      </w:r>
      <w:r>
        <w:t xml:space="preserve">By 2030, 31% of Bruxellois will be over 65—increasing cataract surgery demand by an estimated 28%. Our pipeline includes a next-gen femtosecond laser system targeting this segment.</w:t>
      </w:r>
    </w:p>
    <w:p>
      <w:pPr>
        <w:numPr>
          <w:ilvl w:val="0"/>
          <w:numId w:val="1003"/>
        </w:numPr>
        <w:pStyle w:val="Compact"/>
      </w:pPr>
      <w:r>
        <w:rPr>
          <w:bCs/>
          <w:b/>
        </w:rPr>
        <w:t xml:space="preserve">AI Integration:</w:t>
      </w:r>
      <w:r>
        <w:t xml:space="preserve"> </w:t>
      </w:r>
      <w:r>
        <w:t xml:space="preserve">Belgium's AI strategy for healthcare (launched Q4 2023) will mandate AI-assisted diagnostics in public hospitals by 2025. We are co-developing a Brussels-specific algorithm with UZ Brussel to capture this emerging market.</w:t>
      </w:r>
    </w:p>
    <w:bookmarkEnd w:id="28"/>
    <w:bookmarkStart w:id="29" w:name="conclusion"/>
    <w:p>
      <w:pPr>
        <w:pStyle w:val="Heading2"/>
      </w:pPr>
      <w:r>
        <w:t xml:space="preserve">Conclusion</w:t>
      </w:r>
    </w:p>
    <w:p>
      <w:pPr>
        <w:pStyle w:val="FirstParagraph"/>
      </w:pPr>
      <w:r>
        <w:t xml:space="preserve">This Sales Report unequivocally positions Belgium Brussels as the most dynamic ophthalmology market in Europe. The region's concentration of elite ophthalmologists, supportive regulatory framework, and growing patient base create unparalleled opportunities for innovative solutions. Our 18.7% sales growth validates that customized engagement with Belgium Brussels' ophthalmologist community drives sustainable success—far exceeding the European average of 9.2%. Moving forward, we will deepen partnerships with key institutions like the Belgian Ophthalmological Society to co-develop future-proof services.</w:t>
      </w:r>
    </w:p>
    <w:p>
      <w:pPr>
        <w:pStyle w:val="BodyText"/>
      </w:pPr>
      <w:r>
        <w:t xml:space="preserve">For every ophthalmologist in Belgium Brussels, our solutions deliver tangible value: faster diagnoses, higher procedural volumes, and enhanced patient satisfaction. This Sales Report confirms that investing in Belgium Brussels is not merely strategic—it is essential for leadership in global ophthalmology. As the region continues to set standards for vision care excellence, our commitment to supporting its ophthalmologists remains unwavering.</w:t>
      </w:r>
    </w:p>
    <w:p>
      <w:pPr>
        <w:pStyle w:val="BodyText"/>
      </w:pPr>
      <w:r>
        <w:rPr>
          <w:bCs/>
          <w:b/>
        </w:rPr>
        <w:t xml:space="preserve">Prepared by:</w:t>
      </w:r>
      <w:r>
        <w:t xml:space="preserve"> </w:t>
      </w:r>
      <w:r>
        <w:t xml:space="preserve">Global Medical Solutions - European Sales Division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Ophthalmologist Market Performance in Belgium Brussels</dc:title>
  <dc:creator/>
  <dc:language>en</dc:language>
  <cp:keywords/>
  <dcterms:created xsi:type="dcterms:W3CDTF">2025-12-11T15:56:43Z</dcterms:created>
  <dcterms:modified xsi:type="dcterms:W3CDTF">2025-12-11T15:56:43Z</dcterms:modified>
</cp:coreProperties>
</file>

<file path=docProps/custom.xml><?xml version="1.0" encoding="utf-8"?>
<Properties xmlns="http://schemas.openxmlformats.org/officeDocument/2006/custom-properties" xmlns:vt="http://schemas.openxmlformats.org/officeDocument/2006/docPropsVTypes"/>
</file>