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30" w:name="Xf9bedc58ab7066c59ce954da15f7c2a5de590c5"/>
    <w:p>
      <w:pPr>
        <w:pStyle w:val="Heading1"/>
      </w:pPr>
      <w:r>
        <w:t xml:space="preserve">Sales Report for Ophthalmological Services in Brazil Brasília: Q3 2023 Performance Analysis</w:t>
      </w:r>
    </w:p>
    <w:p>
      <w:pPr>
        <w:pStyle w:val="FirstParagraph"/>
      </w:pPr>
      <w:r>
        <w:rPr>
          <w:bCs/>
          <w:b/>
        </w:rPr>
        <w:t xml:space="preserve">Prepared For:</w:t>
      </w:r>
      <w:r>
        <w:t xml:space="preserve"> </w:t>
      </w:r>
      <w:r>
        <w:t xml:space="preserve">Executive Leadership, Brazilian Medical Association (AMB), and Strategic Partners</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Brasília, Federal District, Brazil</w:t>
      </w:r>
    </w:p>
    <w:bookmarkStart w:id="20" w:name="i.-executive-summary"/>
    <w:p>
      <w:pPr>
        <w:pStyle w:val="Heading2"/>
      </w:pPr>
      <w:r>
        <w:t xml:space="preserve">I. Executive Summary</w:t>
      </w:r>
    </w:p>
    <w:p>
      <w:pPr>
        <w:pStyle w:val="FirstParagraph"/>
      </w:pPr>
      <w:r>
        <w:t xml:space="preserve">This comprehensive Sales Report details the performance of ophthalmological services delivered by leading practitioners in Brazil Brasília during the third quarter of 2023. The data reveals a significant 18.7% year-over-year growth in patient consultations, establishing new benchmarks for clinical excellence and commercial viability within Brazil's healthcare ecosystem. As an Ophthalmologist serving the capital city of Brazil, our practice has consistently demonstrated leadership in both medical service delivery and strategic business development across Brasília's expanding urban corridors.</w:t>
      </w:r>
    </w:p>
    <w:bookmarkEnd w:id="20"/>
    <w:bookmarkStart w:id="21" w:name="Xedc76a13db67638640f2f8e99767babcb839142"/>
    <w:p>
      <w:pPr>
        <w:pStyle w:val="Heading2"/>
      </w:pPr>
      <w:r>
        <w:t xml:space="preserve">II. Market Context: Ophthalmology Landscape in Brazil Brasília</w:t>
      </w:r>
    </w:p>
    <w:p>
      <w:pPr>
        <w:pStyle w:val="FirstParagraph"/>
      </w:pPr>
      <w:r>
        <w:t xml:space="preserve">Brasília represents a critical hub for healthcare innovation in Central-Western Brazil, with over 1.4 million residents requiring specialized eye care. The Brazilian Ministry of Health reports that ophthalmic disorders affect approximately 37% of the population aged 40+, creating an urgent demand for advanced diagnostics and treatment. This Sales Report underscores how our Ophthalmologist practice has positioned itself at the forefront of addressing this need through strategic service expansion. The city's rapid urbanization and aging demographic have amplified opportunities for premium ophthalmic services, directly influencing our Q3 sales trajectory.</w:t>
      </w:r>
    </w:p>
    <w:bookmarkEnd w:id="21"/>
    <w:bookmarkStart w:id="22" w:name="Xe44fcbf4ab67e0e98029e663a0c9cc14d7b91f5"/>
    <w:p>
      <w:pPr>
        <w:pStyle w:val="Heading2"/>
      </w:pPr>
      <w:r>
        <w:t xml:space="preserve">III. Key Performance Indicators (Q3 2023 vs. Q3 2022)</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Consultations (Total)</w:t>
      </w:r>
    </w:p>
    <w:p>
      <w:pPr>
        <w:pStyle w:val="BodyText"/>
      </w:pPr>
      <w:r>
        <w:t xml:space="preserve">4,875</w:t>
      </w:r>
    </w:p>
    <w:p>
      <w:pPr>
        <w:pStyle w:val="BodyText"/>
      </w:pPr>
      <w:r>
        <w:t xml:space="preserve">4,108</w:t>
      </w:r>
    </w:p>
    <w:p>
      <w:pPr>
        <w:pStyle w:val="BodyText"/>
      </w:pPr>
      <w:r>
        <w:t xml:space="preserve">+18.7%</w:t>
      </w:r>
    </w:p>
    <w:p>
      <w:pPr>
        <w:pStyle w:val="BodyText"/>
      </w:pPr>
      <w:r>
        <w:t xml:space="preserve">Laser Vision Correction Procedures</w:t>
      </w:r>
    </w:p>
    <w:p>
      <w:pPr>
        <w:pStyle w:val="BodyText"/>
      </w:pPr>
      <w:r>
        <w:t xml:space="preserve">322</w:t>
      </w:r>
    </w:p>
    <w:p>
      <w:pPr>
        <w:pStyle w:val="BodyText"/>
      </w:pPr>
      <w:r>
        <w:t xml:space="preserve">&lt;</w:t>
      </w:r>
    </w:p>
    <w:p>
      <w:pPr>
        <w:pStyle w:val="BodyText"/>
      </w:pPr>
      <w:r>
        <w:t xml:space="preserve">265</w:t>
      </w:r>
    </w:p>
    <w:p>
      <w:pPr>
        <w:pStyle w:val="BodyText"/>
      </w:pPr>
      <w:r>
        <w:t xml:space="preserve">+21.5%</w:t>
      </w:r>
    </w:p>
    <w:p>
      <w:pPr>
        <w:pStyle w:val="BodyText"/>
      </w:pPr>
      <w:r>
        <w:t xml:space="preserve">Cataract Surgeries</w:t>
      </w:r>
    </w:p>
    <w:p>
      <w:pPr>
        <w:pStyle w:val="BodyText"/>
      </w:pPr>
      <w:r>
        <w:t xml:space="preserve">587</w:t>
      </w:r>
    </w:p>
    <w:p>
      <w:pPr>
        <w:pStyle w:val="BodyText"/>
      </w:pPr>
      <w:r>
        <w:t xml:space="preserve">493</w:t>
      </w:r>
    </w:p>
    <w:p>
      <w:pPr>
        <w:pStyle w:val="BodyText"/>
      </w:pPr>
      <w:r>
        <w:t xml:space="preserve">+19.1%</w:t>
      </w:r>
    </w:p>
    <w:p>
      <w:pPr>
        <w:pStyle w:val="BodyText"/>
      </w:pPr>
      <w:r>
        <w:t xml:space="preserve">Dry Eye Management Packages</w:t>
      </w:r>
    </w:p>
    <w:p>
      <w:pPr>
        <w:pStyle w:val="BodyText"/>
      </w:pPr>
      <w:r>
        <w:t xml:space="preserve">&lt;</w:t>
      </w:r>
    </w:p>
    <w:p>
      <w:pPr>
        <w:pStyle w:val="BodyText"/>
      </w:pPr>
      <w:r>
        <w:t xml:space="preserve">724</w:t>
      </w:r>
    </w:p>
    <w:p>
      <w:pPr>
        <w:pStyle w:val="BodyText"/>
      </w:pPr>
      <w:r>
        <w:t xml:space="preserve">502</w:t>
      </w:r>
    </w:p>
    <w:p>
      <w:pPr>
        <w:pStyle w:val="BodyText"/>
      </w:pPr>
      <w:r>
        <w:t xml:space="preserve">The upward trend in all service categories directly correlates with our strategic investments in state-of-the-art equipment and physician training. This Sales Report confirms that Brazil Brasília's patients increasingly prioritize specialized ophthalmic care, with premium laser procedures showing the strongest growth (21.5%) due to heightened awareness campaigns led by our Ophthalmologist team.</w:t>
      </w:r>
    </w:p>
    <w:bookmarkEnd w:id="22"/>
    <w:bookmarkStart w:id="26" w:name="X4d63246992f0c4085dd27f16499838463fe6fe4"/>
    <w:p>
      <w:pPr>
        <w:pStyle w:val="Heading2"/>
      </w:pPr>
      <w:r>
        <w:t xml:space="preserve">IV. Strategic Service Breakdown: Brazil Brasília Market Focus</w:t>
      </w:r>
    </w:p>
    <w:bookmarkStart w:id="23" w:name="a.-premium-diagnostic-services"/>
    <w:p>
      <w:pPr>
        <w:pStyle w:val="Heading3"/>
      </w:pPr>
      <w:r>
        <w:t xml:space="preserve">A. Premium Diagnostic Services</w:t>
      </w:r>
    </w:p>
    <w:p>
      <w:pPr>
        <w:pStyle w:val="FirstParagraph"/>
      </w:pPr>
      <w:r>
        <w:t xml:space="preserve">Our advanced OCT (Optical Coherence Tomography) and visual field analysis services generated 42% of total revenue in Q3, a 15% increase from prior year. This growth stems from our Ophthalmologist's proactive partnership with local insurers (including Unimed Brasília and Bradesco Saúde), securing expanded coverage for early diabetic retinopathy screenings. The Sales Report identifies this as critical to capturing Brazil's rapidly growing diabetic population (estimated at 24% in the Federal District).</w:t>
      </w:r>
    </w:p>
    <w:bookmarkEnd w:id="23"/>
    <w:bookmarkStart w:id="24" w:name="b.-surgical-procedure-expansion"/>
    <w:p>
      <w:pPr>
        <w:pStyle w:val="Heading3"/>
      </w:pPr>
      <w:r>
        <w:t xml:space="preserve">B. Surgical Procedure Expansion</w:t>
      </w:r>
    </w:p>
    <w:p>
      <w:pPr>
        <w:pStyle w:val="FirstParagraph"/>
      </w:pPr>
      <w:r>
        <w:t xml:space="preserve">Cataract surgery volumes reached a record high (587 procedures), representing 28% of all surgical services. The Ophthalmologist's use of femtosecond laser technology reduced recovery times by 40%, driving patient satisfaction scores to 96.3% – significantly above the national average. This technological edge has positioned our practice as Brazil Brasília's preferred destination for cataract care, directly influencing our sales conversion rates.</w:t>
      </w:r>
    </w:p>
    <w:bookmarkEnd w:id="24"/>
    <w:bookmarkStart w:id="25" w:name="c.-preventive-care-packages"/>
    <w:p>
      <w:pPr>
        <w:pStyle w:val="Heading3"/>
      </w:pPr>
      <w:r>
        <w:t xml:space="preserve">C. Preventive Care Packages</w:t>
      </w:r>
    </w:p>
    <w:p>
      <w:pPr>
        <w:pStyle w:val="FirstParagraph"/>
      </w:pPr>
      <w:r>
        <w:t xml:space="preserve">New "Vision Wellness" subscription plans (offering quarterly eye exams + digital retinal screening) contributed 27% of recurring revenue. These packages were specifically designed for Brasília's corporate sector, with 14 major employers (including Banco Central do Brasil and Embrapo) signing group contracts. This Sales Report demonstrates how our Ophthalmologist's market insights have translated into scalable revenue streams beyond traditional patient visits.</w:t>
      </w:r>
    </w:p>
    <w:bookmarkEnd w:id="25"/>
    <w:bookmarkEnd w:id="26"/>
    <w:bookmarkStart w:id="27" w:name="X2cece981a06498cdf41862e6b8bfd8d51a27184"/>
    <w:p>
      <w:pPr>
        <w:pStyle w:val="Heading2"/>
      </w:pPr>
      <w:r>
        <w:t xml:space="preserve">V. Competitive Analysis: Positioning in Brazil Brasília</w:t>
      </w:r>
    </w:p>
    <w:p>
      <w:pPr>
        <w:pStyle w:val="FirstParagraph"/>
      </w:pPr>
      <w:r>
        <w:t xml:space="preserve">Our Q3 performance outpaces the Brasília regional average of 12% growth across all ophthalmology practices. Key differentiators include:</w:t>
      </w:r>
    </w:p>
    <w:p>
      <w:pPr>
        <w:numPr>
          <w:ilvl w:val="0"/>
          <w:numId w:val="1001"/>
        </w:numPr>
        <w:pStyle w:val="Compact"/>
      </w:pPr>
      <w:r>
        <w:rPr>
          <w:bCs/>
          <w:b/>
        </w:rPr>
        <w:t xml:space="preserve">Technology Adoption:</w:t>
      </w:r>
      <w:r>
        <w:t xml:space="preserve"> </w:t>
      </w:r>
      <w:r>
        <w:t xml:space="preserve">Only 15% of clinics in Brazil Brasília offer OCT-guided glaucoma management (vs. our 98% adoption rate)</w:t>
      </w:r>
    </w:p>
    <w:p>
      <w:pPr>
        <w:numPr>
          <w:ilvl w:val="0"/>
          <w:numId w:val="1001"/>
        </w:numPr>
        <w:pStyle w:val="Compact"/>
      </w:pPr>
      <w:r>
        <w:rPr>
          <w:bCs/>
          <w:b/>
        </w:rPr>
        <w:t xml:space="preserve">Patient Retention:</w:t>
      </w:r>
      <w:r>
        <w:t xml:space="preserve"> </w:t>
      </w:r>
      <w:r>
        <w:t xml:space="preserve">76% of patients returned for follow-up care within 3 months (vs. national average of 62%)</w:t>
      </w:r>
    </w:p>
    <w:p>
      <w:pPr>
        <w:numPr>
          <w:ilvl w:val="0"/>
          <w:numId w:val="1001"/>
        </w:numPr>
        <w:pStyle w:val="Compact"/>
      </w:pPr>
      <w:r>
        <w:rPr>
          <w:bCs/>
          <w:b/>
        </w:rPr>
        <w:t xml:space="preserve">Community Integration:</w:t>
      </w:r>
      <w:r>
        <w:t xml:space="preserve"> </w:t>
      </w:r>
      <w:r>
        <w:t xml:space="preserve">Partnership with Brasília Municipal Health Department for free diabetic eye screenings at 8 public centers</w:t>
      </w:r>
    </w:p>
    <w:bookmarkEnd w:id="27"/>
    <w:bookmarkStart w:id="28" w:name="X0bab1ea1b44022993cd4fe3ee83c206baa569c0"/>
    <w:p>
      <w:pPr>
        <w:pStyle w:val="Heading2"/>
      </w:pPr>
      <w:r>
        <w:t xml:space="preserve">VI. Challenges and Strategic Opportunities</w:t>
      </w:r>
    </w:p>
    <w:p>
      <w:pPr>
        <w:pStyle w:val="FirstParagraph"/>
      </w:pPr>
      <w:r>
        <w:rPr>
          <w:iCs/>
          <w:i/>
        </w:rPr>
        <w:t xml:space="preserve">This Sales Report identifies two critical areas requiring attention:</w:t>
      </w:r>
    </w:p>
    <w:p>
      <w:pPr>
        <w:numPr>
          <w:ilvl w:val="0"/>
          <w:numId w:val="1002"/>
        </w:numPr>
        <w:pStyle w:val="Compact"/>
      </w:pPr>
      <w:r>
        <w:rPr>
          <w:bCs/>
          <w:b/>
        </w:rPr>
        <w:t xml:space="preserve">Infrastructure Constraints:</w:t>
      </w:r>
      <w:r>
        <w:t xml:space="preserve"> </w:t>
      </w:r>
      <w:r>
        <w:t xml:space="preserve">Limited operating rooms at our Brasília facility caused 15% procedure backlog during peak demand (July–August). Mitigation plan: Securing funding for new surgical suite at the upcoming Brasília Medical District expansion.</w:t>
      </w:r>
    </w:p>
    <w:p>
      <w:pPr>
        <w:numPr>
          <w:ilvl w:val="0"/>
          <w:numId w:val="1002"/>
        </w:numPr>
        <w:pStyle w:val="Compact"/>
      </w:pPr>
      <w:r>
        <w:rPr>
          <w:bCs/>
          <w:b/>
        </w:rPr>
        <w:t xml:space="preserve">Insurance Reimbursement Delays:</w:t>
      </w:r>
      <w:r>
        <w:t xml:space="preserve"> </w:t>
      </w:r>
      <w:r>
        <w:t xml:space="preserve">Average claim processing time increased to 42 days (from 30 days), impacting cash flow. Action: Collaborating with ANS (Brazilian Health Regulatory Agency) on streamlined billing protocols specific to ophthalmology services in Brasília.</w:t>
      </w:r>
    </w:p>
    <w:p>
      <w:pPr>
        <w:pStyle w:val="FirstParagraph"/>
      </w:pPr>
      <w:r>
        <w:t xml:space="preserve">Opportunities for Q4 include targeting the growing geriatric segment (population aged 65+ increasing at 3.2% annually in Brasília) through specialized low-vision rehabilitation programs – projected to add $185K in quarterly revenue based on current market analysis.</w:t>
      </w:r>
    </w:p>
    <w:bookmarkEnd w:id="28"/>
    <w:bookmarkStart w:id="29" w:name="Xfc54c7a6d0d3f4cc4124ec03aad45ff0be6e634"/>
    <w:p>
      <w:pPr>
        <w:pStyle w:val="Heading2"/>
      </w:pPr>
      <w:r>
        <w:t xml:space="preserve">VII. Conclusion: Ophthalmologist Leadership in Brazil's Capital City</w:t>
      </w:r>
    </w:p>
    <w:p>
      <w:pPr>
        <w:pStyle w:val="FirstParagraph"/>
      </w:pPr>
      <w:r>
        <w:t xml:space="preserve">This Sales Report unequivocally demonstrates that our practice has become the benchmark for ophthalmological excellence in Brazil Brasília. The 18.7% revenue growth – significantly exceeding regional averages – stems from the Ophthalmologist's dual commitment to clinical innovation and business strategy. As Brazil's healthcare sector evolves, our ability to merge cutting-edge technology with patient-centered service delivery positions us as a model for ophthalmology practices nationwide.</w:t>
      </w:r>
    </w:p>
    <w:p>
      <w:pPr>
        <w:pStyle w:val="BodyText"/>
      </w:pPr>
      <w:r>
        <w:t xml:space="preserve">Crucially, this success is rooted in our deep understanding of Brasília's unique demographic needs – from urban professionals seeking laser vision correction to elderly residents requiring cataract care. The consistent demand for our services validates the strategic investments made by the Ophthalmologist team, proving that specialized eye care is not merely a medical necessity but a commercial imperative in Brazil's most influential city.</w:t>
      </w:r>
    </w:p>
    <w:p>
      <w:pPr>
        <w:pStyle w:val="BodyText"/>
      </w:pPr>
      <w:r>
        <w:t xml:space="preserve">Looking ahead, we will intensify partnerships with Brazilian health institutions to expand access across the Federal District while maintaining our position as Brazil Brasília's premier ophthalmology destination. This Sales Report confirms that the Ophthalmologist-led approach delivers measurable results, setting new standards for healthcare business development in Brazil.</w:t>
      </w:r>
    </w:p>
    <w:p>
      <w:pPr>
        <w:pStyle w:val="BodyText"/>
      </w:pPr>
      <w:r>
        <w:rPr>
          <w:bCs/>
          <w:b/>
        </w:rPr>
        <w:t xml:space="preserve">Prepared By:</w:t>
      </w:r>
      <w:r>
        <w:t xml:space="preserve"> </w:t>
      </w:r>
      <w:r>
        <w:t xml:space="preserve">Strategic Analytics Department</w:t>
      </w:r>
      <w:r>
        <w:br/>
      </w:r>
      <w:r>
        <w:rPr>
          <w:bCs/>
          <w:b/>
        </w:rPr>
        <w:t xml:space="preserve">Date:</w:t>
      </w:r>
      <w:r>
        <w:t xml:space="preserve"> </w:t>
      </w:r>
      <w:r>
        <w:t xml:space="preserve">October 15, 2023</w:t>
      </w:r>
      <w:r>
        <w:br/>
      </w:r>
      <w:r>
        <w:rPr>
          <w:bCs/>
          <w:b/>
        </w:rPr>
        <w:t xml:space="preserve">Contact:</w:t>
      </w:r>
      <w:r>
        <w:t xml:space="preserve"> </w:t>
      </w:r>
      <w:r>
        <w:t xml:space="preserve">sales@ophthalmologybrasilia.com.br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Brazil Brasília</dc:title>
  <dc:creator/>
  <dc:language>en</dc:language>
  <cp:keywords/>
  <dcterms:created xsi:type="dcterms:W3CDTF">2026-07-23T22:17:49Z</dcterms:created>
  <dcterms:modified xsi:type="dcterms:W3CDTF">2026-07-23T22:17:49Z</dcterms:modified>
</cp:coreProperties>
</file>

<file path=docProps/custom.xml><?xml version="1.0" encoding="utf-8"?>
<Properties xmlns="http://schemas.openxmlformats.org/officeDocument/2006/custom-properties" xmlns:vt="http://schemas.openxmlformats.org/officeDocument/2006/docPropsVTypes"/>
</file>