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Sales</w:t>
      </w:r>
      <w:r>
        <w:t xml:space="preserve"> </w:t>
      </w:r>
      <w:r>
        <w:t xml:space="preserve">Report:</w:t>
      </w:r>
      <w:r>
        <w:t xml:space="preserve"> </w:t>
      </w:r>
      <w:r>
        <w:t xml:space="preserve">Rio</w:t>
      </w:r>
      <w:r>
        <w:t xml:space="preserve"> </w:t>
      </w:r>
      <w:r>
        <w:t xml:space="preserve">de</w:t>
      </w:r>
      <w:r>
        <w:t xml:space="preserve"> </w:t>
      </w:r>
      <w:r>
        <w:t xml:space="preserve">Janeiro</w:t>
      </w:r>
      <w:r>
        <w:t xml:space="preserve"> </w:t>
      </w:r>
      <w:r>
        <w:t xml:space="preserve">Market</w:t>
      </w:r>
      <w:r>
        <w:t xml:space="preserve"> </w:t>
      </w:r>
      <w:r>
        <w:t xml:space="preserve">Analysis</w:t>
      </w:r>
    </w:p>
    <w:bookmarkStart w:id="31" w:name="Xf3910671f95402c0a91bf1a61211bea57aff7ad"/>
    <w:p>
      <w:pPr>
        <w:pStyle w:val="Heading1"/>
      </w:pPr>
      <w:r>
        <w:t xml:space="preserve">Comprehensive Ophthalmologist Sales Report: Strategic Insights for the Rio de Janeiro Market (2023-2024)</w:t>
      </w:r>
    </w:p>
    <w:bookmarkStart w:id="20" w:name="executive-summary"/>
    <w:p>
      <w:pPr>
        <w:pStyle w:val="Heading2"/>
      </w:pPr>
      <w:r>
        <w:t xml:space="preserve">Executive Summary</w:t>
      </w:r>
    </w:p>
    <w:p>
      <w:pPr>
        <w:pStyle w:val="FirstParagraph"/>
      </w:pPr>
      <w:r>
        <w:t xml:space="preserve">This sales report presents a detailed analysis of the ophthalmology services market across Rio de Janeiro, Brazil. As one of Latin America's most populous urban centers with over 14 million residents, Rio represents a critical growth frontier for ophthalmic solutions. The data reveals a 17% year-over-year increase in demand for specialized eye care services, driven by aging demographics and rising prevalence of diabetic retinopathy and cataracts. Our strategic focus on high-value diagnostic equipment and premium treatment protocols has positioned key providers to capture 32% market share within the city's private ophthalmology sector. This report details actionable sales strategies tailored specifically for Rio de Janeiro's unique healthcare ecosystem.</w:t>
      </w:r>
    </w:p>
    <w:bookmarkEnd w:id="20"/>
    <w:bookmarkStart w:id="22" w:name="Xf4df28883c242688e7a75b167737a35a1848110"/>
    <w:p>
      <w:pPr>
        <w:pStyle w:val="Heading2"/>
      </w:pPr>
      <w:r>
        <w:t xml:space="preserve">Market Context: Ophthalmologist Demand in Rio de Janeiro</w:t>
      </w:r>
    </w:p>
    <w:p>
      <w:pPr>
        <w:pStyle w:val="FirstParagraph"/>
      </w:pPr>
      <w:r>
        <w:t xml:space="preserve">Rio de Janeiro faces a significant ophthalmic care gap, with only 1.8 ophthalmologists per 100,000 inhabitants compared to Brazil's national average of 2.5. This deficit is particularly acute in peripheral neighborhoods like Baixada Fluminense and Favelas, where access to specialized eye care remains limited. The municipal health system (SUS) handles approximately 65% of ophthalmic procedures, yet wait times exceed 18 months for non-emergency surgeries – creating a strong private market opportunity. Recent data from the Brazilian Ministry of Health confirms that Rio de Janeiro accounts for 12% of all national ophthalmology consultations, with demand growing at 9.2% annually.</w:t>
      </w:r>
    </w:p>
    <w:bookmarkStart w:id="21" w:name="Xda39636cda5f04ae3f2e4c0fa3caf26254aa58f"/>
    <w:p>
      <w:pPr>
        <w:pStyle w:val="Heading3"/>
      </w:pPr>
      <w:r>
        <w:t xml:space="preserve">Key Sales Drivers in Rio's Ophthalmic Market</w:t>
      </w:r>
    </w:p>
    <w:p>
      <w:pPr>
        <w:numPr>
          <w:ilvl w:val="0"/>
          <w:numId w:val="1001"/>
        </w:numPr>
        <w:pStyle w:val="Compact"/>
      </w:pPr>
      <w:r>
        <w:rPr>
          <w:bCs/>
          <w:b/>
        </w:rPr>
        <w:t xml:space="preserve">Demographic Pressure:</w:t>
      </w:r>
      <w:r>
        <w:t xml:space="preserve"> </w:t>
      </w:r>
      <w:r>
        <w:t xml:space="preserve">18.7% of Rio's population is aged 60+, driving cataract and macular degeneration consultations</w:t>
      </w:r>
    </w:p>
    <w:p>
      <w:pPr>
        <w:numPr>
          <w:ilvl w:val="0"/>
          <w:numId w:val="1001"/>
        </w:numPr>
        <w:pStyle w:val="Compact"/>
      </w:pPr>
      <w:r>
        <w:rPr>
          <w:bCs/>
          <w:b/>
        </w:rPr>
        <w:t xml:space="preserve">Disease Prevalence:</w:t>
      </w:r>
      <w:r>
        <w:t xml:space="preserve"> </w:t>
      </w:r>
      <w:r>
        <w:t xml:space="preserve">15.3% diabetes rate in Rio (vs. national average of 12%) increasing diabetic retinopathy cases by 24% YoY</w:t>
      </w:r>
    </w:p>
    <w:p>
      <w:pPr>
        <w:numPr>
          <w:ilvl w:val="0"/>
          <w:numId w:val="1001"/>
        </w:numPr>
        <w:pStyle w:val="Compact"/>
      </w:pPr>
      <w:r>
        <w:rPr>
          <w:bCs/>
          <w:b/>
        </w:rPr>
        <w:t xml:space="preserve">Private Sector Expansion:</w:t>
      </w:r>
      <w:r>
        <w:t xml:space="preserve"> </w:t>
      </w:r>
      <w:r>
        <w:t xml:space="preserve">67 new private ophthalmology clinics opened in Rio during Q1-Q3 2023, creating equipment procurement opportunities</w:t>
      </w:r>
    </w:p>
    <w:p>
      <w:pPr>
        <w:numPr>
          <w:ilvl w:val="0"/>
          <w:numId w:val="1001"/>
        </w:numPr>
        <w:pStyle w:val="Compact"/>
      </w:pPr>
      <w:r>
        <w:rPr>
          <w:bCs/>
          <w:b/>
        </w:rPr>
        <w:t xml:space="preserve">Insurance Coverage:</w:t>
      </w:r>
      <w:r>
        <w:t xml:space="preserve"> </w:t>
      </w:r>
      <w:r>
        <w:t xml:space="preserve">Private health plans (such as Amil and Unimed) now cover 89% of advanced diagnostic procedures, boosting service revenue streams</w:t>
      </w:r>
    </w:p>
    <w:bookmarkEnd w:id="21"/>
    <w:bookmarkEnd w:id="22"/>
    <w:bookmarkStart w:id="23" w:name="X2bf98eaa35aaa991d0a6f3f11e8880a33d5de1e"/>
    <w:p>
      <w:pPr>
        <w:pStyle w:val="Heading2"/>
      </w:pPr>
      <w:r>
        <w:t xml:space="preserve">Sales Performance Analysis: Rio de Janeiro Segment</w:t>
      </w:r>
    </w:p>
    <w:p>
      <w:pPr>
        <w:pStyle w:val="FirstParagraph"/>
      </w:pPr>
      <w:r>
        <w:t xml:space="preserve">Data from Q3 2023 reveals robust sales growth across our ophthalmology product portfolio in Rio:</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Q3 2023 Sales (BRL)</w:t>
            </w:r>
          </w:p>
        </w:tc>
        <w:tc>
          <w:tcPr/>
          <w:p>
            <w:pPr>
              <w:pStyle w:val="Compact"/>
              <w:jc w:val="left"/>
            </w:pPr>
            <w:r>
              <w:t xml:space="preserve">YoY Growth</w:t>
            </w:r>
          </w:p>
        </w:tc>
        <w:tc>
          <w:tcPr/>
          <w:p>
            <w:pPr>
              <w:pStyle w:val="Compact"/>
              <w:jc w:val="left"/>
            </w:pPr>
            <w:r>
              <w:t xml:space="preserve">Market Share (Rio)</w:t>
            </w:r>
          </w:p>
        </w:tc>
      </w:tr>
      <w:tr>
        <w:tc>
          <w:tcPr/>
          <w:p>
            <w:pPr>
              <w:pStyle w:val="Compact"/>
              <w:jc w:val="left"/>
            </w:pPr>
            <w:r>
              <w:t xml:space="preserve">Digital Retinal Cameras</w:t>
            </w:r>
          </w:p>
        </w:tc>
        <w:tc>
          <w:tcPr/>
          <w:p>
            <w:pPr>
              <w:pStyle w:val="Compact"/>
              <w:jc w:val="left"/>
            </w:pPr>
            <w:r>
              <w:t xml:space="preserve">R$ 485,000</w:t>
            </w:r>
          </w:p>
        </w:tc>
        <w:tc>
          <w:tcPr/>
          <w:p>
            <w:pPr>
              <w:pStyle w:val="Compact"/>
              <w:jc w:val="left"/>
            </w:pPr>
            <w:r>
              <w:t xml:space="preserve">32.6%</w:t>
            </w:r>
          </w:p>
        </w:tc>
        <w:tc>
          <w:tcPr/>
          <w:p>
            <w:pPr>
              <w:pStyle w:val="Compact"/>
              <w:jc w:val="left"/>
            </w:pPr>
            <w:r>
              <w:t xml:space="preserve">41%</w:t>
            </w:r>
          </w:p>
        </w:tc>
      </w:tr>
      <w:tr>
        <w:tc>
          <w:tcPr/>
          <w:p>
            <w:pPr>
              <w:pStyle w:val="Compact"/>
              <w:jc w:val="left"/>
            </w:pPr>
            <w:r>
              <w:t xml:space="preserve">Laser Cataract Systems</w:t>
            </w:r>
          </w:p>
        </w:tc>
        <w:tc>
          <w:tcPr/>
          <w:p>
            <w:pPr>
              <w:pStyle w:val="Compact"/>
              <w:jc w:val="left"/>
            </w:pPr>
            <w:r>
              <w:t xml:space="preserve">R$ 2,187,000</w:t>
            </w:r>
          </w:p>
        </w:tc>
        <w:tc>
          <w:tcPr/>
          <w:p>
            <w:pPr>
              <w:pStyle w:val="Compact"/>
              <w:jc w:val="left"/>
            </w:pPr>
            <w:r>
              <w:t xml:space="preserve">28.3%</w:t>
            </w:r>
          </w:p>
        </w:tc>
        <w:tc>
          <w:tcPr/>
          <w:p>
            <w:pPr>
              <w:pStyle w:val="Compact"/>
              <w:jc w:val="left"/>
            </w:pPr>
            <w:r>
              <w:t xml:space="preserve">35%</w:t>
            </w:r>
          </w:p>
        </w:tc>
      </w:tr>
      <w:tr>
        <w:tc>
          <w:tcPr/>
          <w:p>
            <w:pPr>
              <w:pStyle w:val="Compact"/>
              <w:jc w:val="left"/>
            </w:pPr>
            <w:r>
              <w:t xml:space="preserve">Ocular Imaging Software</w:t>
            </w:r>
          </w:p>
        </w:tc>
        <w:tc>
          <w:tcPr/>
          <w:p>
            <w:pPr>
              <w:pStyle w:val="Compact"/>
              <w:jc w:val="left"/>
            </w:pPr>
            <w:r>
              <w:t xml:space="preserve">R$ 962,500</w:t>
            </w:r>
          </w:p>
        </w:tc>
        <w:tc>
          <w:tcPr/>
          <w:p>
            <w:pPr>
              <w:pStyle w:val="Compact"/>
              <w:jc w:val="left"/>
            </w:pPr>
            <w:r>
              <w:t xml:space="preserve">47.1%</w:t>
            </w:r>
          </w:p>
        </w:tc>
        <w:tc>
          <w:tcPr/>
          <w:p>
            <w:pPr>
              <w:pStyle w:val="Compact"/>
              <w:jc w:val="left"/>
            </w:pPr>
            <w:r>
              <w:t xml:space="preserve">28%</w:t>
            </w:r>
          </w:p>
        </w:tc>
      </w:tr>
    </w:tbl>
    <w:p>
      <w:pPr>
        <w:pStyle w:val="BodyText"/>
      </w:pPr>
      <w:r>
        <w:rPr>
          <w:bCs/>
          <w:b/>
        </w:rPr>
        <w:t xml:space="preserve">Notable Achievement:</w:t>
      </w:r>
      <w:r>
        <w:t xml:space="preserve"> </w:t>
      </w:r>
      <w:r>
        <w:t xml:space="preserve">Our premium Laser Cataract System (Model OPH-7) achieved 35% market penetration in Rio's private hospitals – surpassing industry average by 14 percentage points. This success correlates directly with our targeted sales strategy for ophthalmologists specializing in age-related macular degeneration (AMD), a condition affecting 1:4 patients over 60 in Rio.</w:t>
      </w:r>
    </w:p>
    <w:bookmarkEnd w:id="23"/>
    <w:bookmarkStart w:id="24" w:name="challenges-and-competitive-landscape"/>
    <w:p>
      <w:pPr>
        <w:pStyle w:val="Heading2"/>
      </w:pPr>
      <w:r>
        <w:t xml:space="preserve">Challenges and Competitive Landscape</w:t>
      </w:r>
    </w:p>
    <w:p>
      <w:pPr>
        <w:pStyle w:val="FirstParagraph"/>
      </w:pPr>
      <w:r>
        <w:t xml:space="preserve">The Rio de Janeiro market presents nuanced challenges requiring specialized sales approaches:</w:t>
      </w:r>
    </w:p>
    <w:p>
      <w:pPr>
        <w:numPr>
          <w:ilvl w:val="0"/>
          <w:numId w:val="1002"/>
        </w:numPr>
        <w:pStyle w:val="Compact"/>
      </w:pPr>
      <w:r>
        <w:rPr>
          <w:bCs/>
          <w:b/>
        </w:rPr>
        <w:t xml:space="preserve">Clinic Fragmentation:</w:t>
      </w:r>
      <w:r>
        <w:t xml:space="preserve"> </w:t>
      </w:r>
      <w:r>
        <w:t xml:space="preserve">Over 1,200 independent ophthalmology practices operate across Rio, necessitating relationship-based sales rather than bulk contracts</w:t>
      </w:r>
    </w:p>
    <w:p>
      <w:pPr>
        <w:numPr>
          <w:ilvl w:val="0"/>
          <w:numId w:val="1002"/>
        </w:numPr>
        <w:pStyle w:val="Compact"/>
      </w:pPr>
      <w:r>
        <w:rPr>
          <w:bCs/>
          <w:b/>
        </w:rPr>
        <w:t xml:space="preserve">Regulatory Hurdles:</w:t>
      </w:r>
      <w:r>
        <w:t xml:space="preserve"> </w:t>
      </w:r>
      <w:r>
        <w:t xml:space="preserve">ANVISA approval timelines for new equipment average 6.3 months – requiring sales teams to incorporate regulatory strategy into client consultations</w:t>
      </w:r>
    </w:p>
    <w:p>
      <w:pPr>
        <w:numPr>
          <w:ilvl w:val="0"/>
          <w:numId w:val="1002"/>
        </w:numPr>
        <w:pStyle w:val="Compact"/>
      </w:pPr>
      <w:r>
        <w:rPr>
          <w:bCs/>
          <w:b/>
        </w:rPr>
        <w:t xml:space="preserve">Price Sensitivity:</w:t>
      </w:r>
      <w:r>
        <w:t xml:space="preserve"> </w:t>
      </w:r>
      <w:r>
        <w:t xml:space="preserve">Public hospitals demand 15-20% price discounts, while private clinics prioritize ROI over sticker price (e.g., focusing on reduced surgical time)</w:t>
      </w:r>
    </w:p>
    <w:p>
      <w:pPr>
        <w:numPr>
          <w:ilvl w:val="0"/>
          <w:numId w:val="1002"/>
        </w:numPr>
        <w:pStyle w:val="Compact"/>
      </w:pPr>
      <w:r>
        <w:rPr>
          <w:bCs/>
          <w:b/>
        </w:rPr>
        <w:t xml:space="preserve">Competitor Activity:</w:t>
      </w:r>
      <w:r>
        <w:t xml:space="preserve"> </w:t>
      </w:r>
      <w:r>
        <w:t xml:space="preserve">German and Japanese manufacturers hold 68% of Rio's high-end equipment market, but we've gained ground through localized training programs</w:t>
      </w:r>
    </w:p>
    <w:bookmarkEnd w:id="24"/>
    <w:bookmarkStart w:id="29" w:name="X4ea1dac8c70886d3ead6e0d5f89b2ac25571725"/>
    <w:p>
      <w:pPr>
        <w:pStyle w:val="Heading2"/>
      </w:pPr>
      <w:r>
        <w:t xml:space="preserve">Strategic Recommendations for Ophthalmologist Sales Growth</w:t>
      </w:r>
    </w:p>
    <w:p>
      <w:pPr>
        <w:pStyle w:val="FirstParagraph"/>
      </w:pPr>
      <w:r>
        <w:t xml:space="preserve">To capitalize on Rio de Janeiro's evolving ophthalmic landscape, we recommend these targeted sales initiatives:</w:t>
      </w:r>
    </w:p>
    <w:bookmarkStart w:id="25" w:name="hyper-localized-product-bundling"/>
    <w:p>
      <w:pPr>
        <w:pStyle w:val="Heading3"/>
      </w:pPr>
      <w:r>
        <w:t xml:space="preserve">1. Hyper-Localized Product Bundling</w:t>
      </w:r>
    </w:p>
    <w:p>
      <w:pPr>
        <w:pStyle w:val="FirstParagraph"/>
      </w:pPr>
      <w:r>
        <w:t xml:space="preserve">Develop "Rio-Specific" service packages addressing local disease patterns:</w:t>
      </w:r>
      <w:r>
        <w:t xml:space="preserve"> </w:t>
      </w:r>
      <w:r>
        <w:t xml:space="preserve">- *Cataract &amp; Diabetes Package*: Includes retinal imaging + laser system with diabetic monitoring software (priced 12% below standard)</w:t>
      </w:r>
      <w:r>
        <w:t xml:space="preserve"> </w:t>
      </w:r>
      <w:r>
        <w:t xml:space="preserve">- *Beachfront Care Program*: Mobile ophthalmology units targeting coastal communities (e.g., Copacabana, Ipanema) for preventive screenings</w:t>
      </w:r>
    </w:p>
    <w:bookmarkEnd w:id="25"/>
    <w:bookmarkStart w:id="26" w:name="ophthalmologist-partnership-programs"/>
    <w:p>
      <w:pPr>
        <w:pStyle w:val="Heading3"/>
      </w:pPr>
      <w:r>
        <w:t xml:space="preserve">2. Ophthalmologist Partnership Programs</w:t>
      </w:r>
    </w:p>
    <w:p>
      <w:pPr>
        <w:pStyle w:val="FirstParagraph"/>
      </w:pPr>
      <w:r>
        <w:t xml:space="preserve">Establish co-branded educational initiatives with Rio's leading ophthalmology associations:</w:t>
      </w:r>
      <w:r>
        <w:t xml:space="preserve"> </w:t>
      </w:r>
      <w:r>
        <w:t xml:space="preserve">- Sponsor the *Rio Ophthalmic Society*'s annual conference (October 2024)</w:t>
      </w:r>
      <w:r>
        <w:t xml:space="preserve"> </w:t>
      </w:r>
      <w:r>
        <w:t xml:space="preserve">- Create "Diagnostic Excellence" certification for clinics using our imaging systems</w:t>
      </w:r>
      <w:r>
        <w:t xml:space="preserve"> </w:t>
      </w:r>
      <w:r>
        <w:t xml:space="preserve">- Offer revenue-sharing on referral networks to community health centers</w:t>
      </w:r>
    </w:p>
    <w:bookmarkEnd w:id="26"/>
    <w:bookmarkStart w:id="27" w:name="digital-sales-enablement-for-rio-clinics"/>
    <w:p>
      <w:pPr>
        <w:pStyle w:val="Heading3"/>
      </w:pPr>
      <w:r>
        <w:t xml:space="preserve">3. Digital Sales Enablement for Rio Clinics</w:t>
      </w:r>
    </w:p>
    <w:p>
      <w:pPr>
        <w:pStyle w:val="FirstParagraph"/>
      </w:pPr>
      <w:r>
        <w:t xml:space="preserve">Deploy localized digital tools:</w:t>
      </w:r>
      <w:r>
        <w:t xml:space="preserve"> </w:t>
      </w:r>
      <w:r>
        <w:t xml:space="preserve">- Portuguese-language AI diagnostic assistant integrated with clinic EMR systems</w:t>
      </w:r>
      <w:r>
        <w:t xml:space="preserve"> </w:t>
      </w:r>
      <w:r>
        <w:t xml:space="preserve">- Virtual reality training modules for new laser system adoption (tested in 15 Rio clinics with 92% satisfaction)</w:t>
      </w:r>
      <w:r>
        <w:t xml:space="preserve"> </w:t>
      </w:r>
      <w:r>
        <w:t xml:space="preserve">- Real-time inventory dashboard showing equipment utilization rates per clinic</w:t>
      </w:r>
    </w:p>
    <w:bookmarkEnd w:id="27"/>
    <w:bookmarkStart w:id="28" w:name="public-private-collaboration-strategy"/>
    <w:p>
      <w:pPr>
        <w:pStyle w:val="Heading3"/>
      </w:pPr>
      <w:r>
        <w:t xml:space="preserve">4. Public-Private Collaboration Strategy</w:t>
      </w:r>
    </w:p>
    <w:p>
      <w:pPr>
        <w:pStyle w:val="FirstParagraph"/>
      </w:pPr>
      <w:r>
        <w:t xml:space="preserve">Develop framework for municipal health partnership:</w:t>
      </w:r>
      <w:r>
        <w:t xml:space="preserve"> </w:t>
      </w:r>
      <w:r>
        <w:t xml:space="preserve">- Propose "Rio Eye Health Initiative" to SUS: Equipment leasing at reduced rates with mandatory community screening quotas</w:t>
      </w:r>
      <w:r>
        <w:t xml:space="preserve"> </w:t>
      </w:r>
      <w:r>
        <w:t xml:space="preserve">- Target 5 public hospital contracts within 18 months (current pilot at Hospital Universitário Pedro Ernesto showing 40% faster patient throughput)</w:t>
      </w:r>
    </w:p>
    <w:bookmarkEnd w:id="28"/>
    <w:bookmarkEnd w:id="29"/>
    <w:bookmarkStart w:id="30" w:name="X45abd6746386f21f64222b4291fbc7f343f5fdb"/>
    <w:p>
      <w:pPr>
        <w:pStyle w:val="Heading2"/>
      </w:pPr>
      <w:r>
        <w:t xml:space="preserve">Conclusion: The Rio Ophthalmologist Opportunity</w:t>
      </w:r>
    </w:p>
    <w:p>
      <w:pPr>
        <w:pStyle w:val="FirstParagraph"/>
      </w:pPr>
      <w:r>
        <w:t xml:space="preserve">Rio de Janeiro represents an unparalleled market for ophthalmology sales growth, where strategic alignment with local clinical needs drives superior performance. Our Q3 2023 results demonstrate that customized approaches to Brazil's unique healthcare dynamics generate 1.8x higher customer retention than generic sales tactics. The city's accelerating demand – fueled by aging populations and diabetes epidemics – creates a $147M annual addressable market for premium ophthalmic solutions.</w:t>
      </w:r>
    </w:p>
    <w:p>
      <w:pPr>
        <w:pStyle w:val="BodyText"/>
      </w:pPr>
      <w:r>
        <w:t xml:space="preserve">Key success metrics for the next quarter include securing 7 new private clinic contracts in Greater Rio (target: 28% revenue growth), launching the Beachfront Care Program in two peripheral municipalities, and achieving ANVISA approval for our next-generation imaging system by Q1 2024. By embedding ourselves within Rio's ophthalmologist community through clinical partnerships rather than transactional sales, we position our brand as the indispensable partner in solving Brazil's eye care crisis. This localized strategy delivers not just commercial success, but meaningful impact on Rio de Janeiro's public health outcomes.</w:t>
      </w:r>
    </w:p>
    <w:p>
      <w:pPr>
        <w:pStyle w:val="BodyText"/>
      </w:pPr>
      <w:r>
        <w:rPr>
          <w:bCs/>
          <w:b/>
        </w:rPr>
        <w:t xml:space="preserve">Prepared For:</w:t>
      </w:r>
      <w:r>
        <w:t xml:space="preserve"> </w:t>
      </w:r>
      <w:r>
        <w:t xml:space="preserve">Global Ophthalmology Sales Leadership |</w:t>
      </w:r>
      <w:r>
        <w:t xml:space="preserve"> </w:t>
      </w:r>
      <w:r>
        <w:rPr>
          <w:bCs/>
          <w:b/>
        </w:rPr>
        <w:t xml:space="preserve">Date:</w:t>
      </w:r>
      <w:r>
        <w:t xml:space="preserve"> </w:t>
      </w:r>
      <w:r>
        <w:t xml:space="preserve">October 26, 2023 |</w:t>
      </w:r>
      <w:r>
        <w:t xml:space="preserve"> </w:t>
      </w:r>
      <w:r>
        <w:rPr>
          <w:bCs/>
          <w:b/>
        </w:rPr>
        <w:t xml:space="preserve">Market Focus:</w:t>
      </w:r>
      <w:r>
        <w:t xml:space="preserve"> </w:t>
      </w:r>
      <w:r>
        <w:t xml:space="preserve">Brazil - Rio de Janeiro</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Sales Report: Rio de Janeiro Market Analysis</dc:title>
  <dc:creator/>
  <dc:language>en</dc:language>
  <cp:keywords/>
  <dcterms:created xsi:type="dcterms:W3CDTF">2026-07-23T23:23:55Z</dcterms:created>
  <dcterms:modified xsi:type="dcterms:W3CDTF">2026-07-23T23:23:55Z</dcterms:modified>
</cp:coreProperties>
</file>

<file path=docProps/custom.xml><?xml version="1.0" encoding="utf-8"?>
<Properties xmlns="http://schemas.openxmlformats.org/officeDocument/2006/custom-properties" xmlns:vt="http://schemas.openxmlformats.org/officeDocument/2006/docPropsVTypes"/>
</file>