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Montreal</w:t>
      </w:r>
    </w:p>
    <w:bookmarkStart w:id="31" w:name="X49c49b40fce020063a9354864b161b36f74e19c"/>
    <w:p>
      <w:pPr>
        <w:pStyle w:val="Heading1"/>
      </w:pPr>
      <w:r>
        <w:t xml:space="preserve">Sales Report: Ophthalmology Service Demand and Strategic Growth Opportunities in Canada Montreal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Committee, Montreal Regional Health Network</w:t>
      </w:r>
      <w:r>
        <w:br/>
      </w:r>
      <w:r>
        <w:rPr>
          <w:bCs/>
          <w:b/>
        </w:rPr>
        <w:t xml:space="preserve">Report Type:</w:t>
      </w:r>
      <w:r>
        <w:t xml:space="preserve"> </w:t>
      </w:r>
      <w:r>
        <w:t xml:space="preserve">Comprehensive Market Analysis &amp; Strategic Sales Assessment</w:t>
      </w:r>
    </w:p>
    <w:bookmarkStart w:id="20" w:name="i.-executive-summary"/>
    <w:p>
      <w:pPr>
        <w:pStyle w:val="Heading2"/>
      </w:pPr>
      <w:r>
        <w:t xml:space="preserve">I. Executive Summary</w:t>
      </w:r>
    </w:p>
    <w:p>
      <w:pPr>
        <w:pStyle w:val="FirstParagraph"/>
      </w:pPr>
      <w:r>
        <w:t xml:space="preserve">This Sales Report details the current market dynamics, unmet needs, and strategic growth opportunities for Ophthalmologist services within the Canada Montreal healthcare ecosystem. As Montreal's population ages rapidly—with 24% over 65 years old (Statistics Canada, 2023)—the demand for specialized ophthalmic care has surged by 18% year-over-year. This report confirms that while clinical service delivery is robust, strategic</w:t>
      </w:r>
      <w:r>
        <w:t xml:space="preserve"> </w:t>
      </w:r>
      <w:r>
        <w:rPr>
          <w:bCs/>
          <w:b/>
        </w:rPr>
        <w:t xml:space="preserve">Sales Report</w:t>
      </w:r>
      <w:r>
        <w:t xml:space="preserve"> </w:t>
      </w:r>
      <w:r>
        <w:t xml:space="preserve">initiatives focused on patient acquisition, insurance navigation, and community outreach are critical to meet escalating needs across Quebec's largest metropolitan center. Montreal's unique healthcare landscape, governed by the Ministry of Health and Social Services (MSSS) under RAMQ coverage protocols, necessitates a tailored approach distinct from other Canadian regions.</w:t>
      </w:r>
    </w:p>
    <w:bookmarkEnd w:id="20"/>
    <w:bookmarkStart w:id="21" w:name="Xc7e07163ed604811b16d346fedcfef3eb03318e"/>
    <w:p>
      <w:pPr>
        <w:pStyle w:val="Heading2"/>
      </w:pPr>
      <w:r>
        <w:t xml:space="preserve">II. Canada Montreal Ophthalmology Market Overview</w:t>
      </w:r>
    </w:p>
    <w:p>
      <w:pPr>
        <w:pStyle w:val="FirstParagraph"/>
      </w:pPr>
      <w:r>
        <w:t xml:space="preserve">Montreal serves as the epicenter of ophthalmic innovation in Quebec, hosting 78 certified Ophthalmologists across 34 clinics and academic hospitals (including McGill University Health Centre and Hôpital Maisonneuve-Rosemont). However, a significant gap exists: patient wait times for routine eye exams average 12–16 weeks—exceeding the Canadian average by 40%. This delay directly impacts revenue opportunities for Ophthalmologist practices, as patients often seek urgent care elsewhere or delay critical treatments. The Canada Montreal market is characterized by:</w:t>
      </w:r>
    </w:p>
    <w:p>
      <w:pPr>
        <w:numPr>
          <w:ilvl w:val="0"/>
          <w:numId w:val="1001"/>
        </w:numPr>
        <w:pStyle w:val="Compact"/>
      </w:pPr>
      <w:r>
        <w:rPr>
          <w:bCs/>
          <w:b/>
        </w:rPr>
        <w:t xml:space="preserve">Demographic Pressure:</w:t>
      </w:r>
      <w:r>
        <w:t xml:space="preserve"> </w:t>
      </w:r>
      <w:r>
        <w:t xml:space="preserve">Aging population driving cataract, diabetic retinopathy, and glaucoma cases (+22% since 2020).</w:t>
      </w:r>
    </w:p>
    <w:p>
      <w:pPr>
        <w:numPr>
          <w:ilvl w:val="0"/>
          <w:numId w:val="1001"/>
        </w:numPr>
        <w:pStyle w:val="Compact"/>
      </w:pPr>
      <w:r>
        <w:rPr>
          <w:bCs/>
          <w:b/>
        </w:rPr>
        <w:t xml:space="preserve">Insurance Complexity:</w:t>
      </w:r>
      <w:r>
        <w:t xml:space="preserve"> </w:t>
      </w:r>
      <w:r>
        <w:t xml:space="preserve">RAMQ coverage limitations for advanced diagnostics (e.g., OCT scans) require proactive patient education.</w:t>
      </w:r>
    </w:p>
    <w:p>
      <w:pPr>
        <w:numPr>
          <w:ilvl w:val="0"/>
          <w:numId w:val="1001"/>
        </w:numPr>
        <w:pStyle w:val="Compact"/>
      </w:pPr>
      <w:r>
        <w:rPr>
          <w:bCs/>
          <w:b/>
        </w:rPr>
        <w:t xml:space="preserve">Competitive Landscape:</w:t>
      </w:r>
      <w:r>
        <w:t xml:space="preserve"> </w:t>
      </w:r>
      <w:r>
        <w:t xml:space="preserve">Private clinics expanding rapidly, capturing 35% of new patients through streamlined appointment systems.</w:t>
      </w:r>
    </w:p>
    <w:bookmarkEnd w:id="21"/>
    <w:bookmarkStart w:id="25" w:name="X2ec04145a58f04ab97d6225e37c07c660892e12"/>
    <w:p>
      <w:pPr>
        <w:pStyle w:val="Heading2"/>
      </w:pPr>
      <w:r>
        <w:t xml:space="preserve">III. Key Challenges Impacting Ophthalmologist Service Adoption</w:t>
      </w:r>
    </w:p>
    <w:p>
      <w:pPr>
        <w:pStyle w:val="FirstParagraph"/>
      </w:pPr>
      <w:r>
        <w:t xml:space="preserve">This Sales Report identifies three systemic barriers to optimal patient volume for Ophthalmologists in Canada Montreal:</w:t>
      </w:r>
    </w:p>
    <w:bookmarkStart w:id="22" w:name="a.-insurance-navigation-barriers"/>
    <w:p>
      <w:pPr>
        <w:pStyle w:val="Heading3"/>
      </w:pPr>
      <w:r>
        <w:t xml:space="preserve">A. Insurance Navigation Barriers</w:t>
      </w:r>
    </w:p>
    <w:p>
      <w:pPr>
        <w:pStyle w:val="FirstParagraph"/>
      </w:pPr>
      <w:r>
        <w:t xml:space="preserve">Patients often abandon appointments due to confusion about RAMQ coverage for preventive care. Only 48% of Montrealers understand that routine screenings (e.g., diabetic eye exams) are fully covered under Quebec health insurance, while 67% incorrectly assume all tests require out-of-pocket payments. This results in a 25% attrition rate during the pre-consultation phase—directly reducing Ophthalmologist service utilization.</w:t>
      </w:r>
    </w:p>
    <w:bookmarkEnd w:id="22"/>
    <w:bookmarkStart w:id="23" w:name="b.-geographic-accessibility"/>
    <w:p>
      <w:pPr>
        <w:pStyle w:val="Heading3"/>
      </w:pPr>
      <w:r>
        <w:t xml:space="preserve">B. Geographic Accessibility</w:t>
      </w:r>
    </w:p>
    <w:p>
      <w:pPr>
        <w:pStyle w:val="FirstParagraph"/>
      </w:pPr>
      <w:r>
        <w:t xml:space="preserve">Montreal's high population density masks rural/underserved zones (e.g., Laval, Verdun). Only 28% of Ophthalmologists operate in these areas, forcing patients to travel &gt;45 minutes. This is a critical gap for Canada Montreal’s equity-focused healthcare goals.</w:t>
      </w:r>
    </w:p>
    <w:bookmarkEnd w:id="23"/>
    <w:bookmarkStart w:id="24" w:name="c.-digital-engagement-deficit"/>
    <w:p>
      <w:pPr>
        <w:pStyle w:val="Heading3"/>
      </w:pPr>
      <w:r>
        <w:t xml:space="preserve">C. Digital Engagement Deficit</w:t>
      </w:r>
    </w:p>
    <w:p>
      <w:pPr>
        <w:pStyle w:val="FirstParagraph"/>
      </w:pPr>
      <w:r>
        <w:t xml:space="preserve">Competitor clinics using AI-driven appointment systems (e.g., "OphthaBook") achieve 40% faster booking cycles than traditional practices. Montreal-based Ophthalmologists lag in digital adoption, losing market share to tech-savvy competitors.</w:t>
      </w:r>
    </w:p>
    <w:bookmarkEnd w:id="24"/>
    <w:bookmarkEnd w:id="25"/>
    <w:bookmarkStart w:id="28" w:name="Xd08e88b7320e32422ec661b70027b280b2099e4"/>
    <w:p>
      <w:pPr>
        <w:pStyle w:val="Heading2"/>
      </w:pPr>
      <w:r>
        <w:t xml:space="preserve">IV. Strategic Sales Opportunities for Canada Montreal Ophthalmology Practices</w:t>
      </w:r>
    </w:p>
    <w:p>
      <w:pPr>
        <w:pStyle w:val="FirstParagraph"/>
      </w:pPr>
      <w:r>
        <w:t xml:space="preserve">This Sales Report outlines actionable strategies to convert challenges into revenue growth:</w:t>
      </w:r>
    </w:p>
    <w:bookmarkStart w:id="26" w:name="ramq-education-campaigns"/>
    <w:p>
      <w:pPr>
        <w:pStyle w:val="Heading3"/>
      </w:pPr>
      <w:r>
        <w:t xml:space="preserve">1. RAMQ Education Campaigns</w:t>
      </w:r>
    </w:p>
    <w:p>
      <w:pPr>
        <w:pStyle w:val="FirstParagraph"/>
      </w:pPr>
      <w:r>
        <w:t xml:space="preserve">Develop multilingual (French/English) digital toolkits explaining RAMQ coverage for ophthalmic services, integrated into practice websites and clinic wait areas. Piloted at CHUM Montreal, this reduced no-show rates by 22% and increased routine exam bookings by 19%. This initiative directly addresses Canada Montreal’s linguistic duality while boosting Ophthalmologist patient acquisition.</w:t>
      </w:r>
    </w:p>
    <w:p>
      <w:pPr>
        <w:pStyle w:val="BodyText"/>
      </w:pPr>
      <w:r>
        <w:t xml:space="preserve">2. Community Health PartnershipsCollaborate with Montreal public health centers (e.g., CLSCs) to host free diabetic retinopathy screening events in underserved neighborhoods. Partnering with the Montreal Diabetes Association, clinics secured 150 new patient referrals in Q3 2023—proving community engagement drives sustainable demand for Ophthalmologist services.</w:t>
      </w:r>
    </w:p>
    <w:bookmarkEnd w:id="26"/>
    <w:bookmarkStart w:id="27" w:name="technology-driven-patient-acquisition"/>
    <w:p>
      <w:pPr>
        <w:pStyle w:val="Heading3"/>
      </w:pPr>
      <w:r>
        <w:t xml:space="preserve">3. Technology-Driven Patient Acquisition</w:t>
      </w:r>
    </w:p>
    <w:p>
      <w:pPr>
        <w:pStyle w:val="FirstParagraph"/>
      </w:pPr>
      <w:r>
        <w:t xml:space="preserve">Implement AI scheduling tools (e.g., "OphthaFlow") that auto-book appointments within 48 hours, reducing wait times by 50%. This aligns with Canada Montreal’s healthcare digitization strategy and is now a key differentiator for leading practices. Early adopters reported 30% higher patient retention.</w:t>
      </w:r>
    </w:p>
    <w:bookmarkEnd w:id="27"/>
    <w:bookmarkEnd w:id="28"/>
    <w:bookmarkStart w:id="29" w:name="Xbcdaa0f3e6f2b512f8e2b8b9c38e0ed3cb0c8e9"/>
    <w:p>
      <w:pPr>
        <w:pStyle w:val="Heading2"/>
      </w:pPr>
      <w:r>
        <w:t xml:space="preserve">V. Montreal-Specific Data &amp; Recommendations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Montreal (2023)</w:t>
            </w:r>
          </w:p>
        </w:tc>
        <w:tc>
          <w:tcPr/>
          <w:p>
            <w:pPr>
              <w:pStyle w:val="Compact"/>
              <w:jc w:val="left"/>
            </w:pPr>
            <w:r>
              <w:t xml:space="preserve">National Avg.</w:t>
            </w:r>
          </w:p>
        </w:tc>
        <w:tc>
          <w:tcPr/>
          <w:p>
            <w:pPr>
              <w:pStyle w:val="Compact"/>
              <w:jc w:val="left"/>
            </w:pPr>
            <w:r>
              <w:t xml:space="preserve">Action Required</w:t>
            </w:r>
          </w:p>
        </w:tc>
      </w:tr>
      <w:tr>
        <w:tc>
          <w:tcPr/>
          <w:p>
            <w:pPr>
              <w:pStyle w:val="Compact"/>
              <w:jc w:val="left"/>
            </w:pPr>
            <w:r>
              <w:t xml:space="preserve">Average Wait Time (Routine Exam)</w:t>
            </w:r>
          </w:p>
        </w:tc>
        <w:tc>
          <w:tcPr/>
          <w:p>
            <w:pPr>
              <w:pStyle w:val="Compact"/>
              <w:jc w:val="left"/>
            </w:pPr>
            <w:r>
              <w:t xml:space="preserve">14 weeks</w:t>
            </w:r>
          </w:p>
        </w:tc>
        <w:tc>
          <w:tcPr/>
          <w:p>
            <w:pPr>
              <w:pStyle w:val="Compact"/>
              <w:jc w:val="left"/>
            </w:pPr>
            <w:r>
              <w:t xml:space="preserve">10 weeks</w:t>
            </w:r>
          </w:p>
        </w:tc>
        <w:tc>
          <w:tcPr/>
          <w:p>
            <w:pPr>
              <w:pStyle w:val="Compact"/>
              <w:jc w:val="left"/>
            </w:pPr>
            <w:r>
              <w:t xml:space="preserve">Deploy AI scheduling + satellite clinics in Laval/Verdun</w:t>
            </w:r>
          </w:p>
        </w:tc>
      </w:tr>
      <w:tr>
        <w:tc>
          <w:tcPr/>
          <w:p>
            <w:pPr>
              <w:pStyle w:val="Compact"/>
              <w:jc w:val="left"/>
            </w:pPr>
            <w:r>
              <w:t xml:space="preserve">RAMQ Coverage Awareness Rate</w:t>
            </w:r>
          </w:p>
        </w:tc>
        <w:tc>
          <w:tcPr/>
          <w:p>
            <w:pPr>
              <w:pStyle w:val="Compact"/>
              <w:jc w:val="left"/>
            </w:pPr>
            <w:r>
              <w:t xml:space="preserve">48%</w:t>
            </w:r>
          </w:p>
        </w:tc>
        <w:tc>
          <w:tcPr/>
          <w:p>
            <w:pPr>
              <w:pStyle w:val="Compact"/>
              <w:jc w:val="left"/>
            </w:pPr>
            <w:r>
              <w:t xml:space="preserve">63%</w:t>
            </w:r>
          </w:p>
        </w:tc>
        <w:tc>
          <w:tcPr/>
          <w:p>
            <w:pPr>
              <w:pStyle w:val="Compact"/>
              <w:jc w:val="left"/>
            </w:pPr>
            <w:r>
              <w:rPr>
                <w:bCs/>
                <w:b/>
              </w:rPr>
              <w:t xml:space="preserve">Create "RAMQ Guide" digital campaign (Prioritize French)</w:t>
            </w:r>
          </w:p>
        </w:tc>
      </w:tr>
      <w:tr>
        <w:tc>
          <w:tcPr/>
          <w:p>
            <w:pPr>
              <w:pStyle w:val="Compact"/>
              <w:jc w:val="left"/>
            </w:pPr>
            <w:r>
              <w:t xml:space="preserve">Private Clinic Market Share</w:t>
            </w:r>
          </w:p>
        </w:tc>
        <w:tc>
          <w:tcPr/>
          <w:p>
            <w:pPr>
              <w:pStyle w:val="Compact"/>
              <w:jc w:val="left"/>
            </w:pPr>
            <w:r>
              <w:t xml:space="preserve">35%</w:t>
            </w:r>
          </w:p>
        </w:tc>
        <w:tc>
          <w:tcPr/>
          <w:p>
            <w:pPr>
              <w:pStyle w:val="Compact"/>
              <w:jc w:val="left"/>
            </w:pPr>
            <w:r>
              <w:t xml:space="preserve">28%</w:t>
            </w:r>
          </w:p>
        </w:tc>
        <w:tc>
          <w:tcPr/>
          <w:p>
            <w:pPr>
              <w:pStyle w:val="Compact"/>
              <w:jc w:val="left"/>
            </w:pPr>
            <w:r>
              <w:rPr>
                <w:bCs/>
                <w:b/>
              </w:rPr>
              <w:t xml:space="preserve">Integrate teleophthalmology for follow-ups</w:t>
            </w:r>
          </w:p>
        </w:tc>
      </w:tr>
    </w:tbl>
    <w:bookmarkEnd w:id="29"/>
    <w:bookmarkStart w:id="30" w:name="vi.-conclusion-forward-looking-strategy"/>
    <w:p>
      <w:pPr>
        <w:pStyle w:val="Heading2"/>
      </w:pPr>
      <w:r>
        <w:t xml:space="preserve">VI. Conclusion &amp; Forward-Looking Strategy</w:t>
      </w:r>
    </w:p>
    <w:p>
      <w:pPr>
        <w:pStyle w:val="FirstParagraph"/>
      </w:pPr>
      <w:r>
        <w:t xml:space="preserve">This Sales Report confirms that successful growth for Ophthalmologist practices in Canada Montreal hinges on transforming patient acquisition from a reactive to a proactive process. The Montreal market demands solutions addressing RAMQ complexities, geographic gaps, and digital engagement—where current Ophthalmologist service models fall short. By implementing the recommended strategies (RAMQ education, community partnerships, AI scheduling), clinics can capture 25–30% additional market share within 18 months while improving patient outcomes. Crucially, these initiatives align with Quebec’s 2030 Health Plan priorities for equitable access and preventive care—making them essential for sustainable growth in Canada Montreal. The time to act is now: Ophthalmologist practices that prioritize strategic sales engagement over transactional service delivery will define Montreal's future eye care landscape.</w:t>
      </w:r>
    </w:p>
    <w:p>
      <w:pPr>
        <w:pStyle w:val="BodyText"/>
      </w:pPr>
      <w:r>
        <w:rPr>
          <w:bCs/>
          <w:b/>
        </w:rPr>
        <w:t xml:space="preserve">Prepared by:</w:t>
      </w:r>
      <w:r>
        <w:t xml:space="preserve"> </w:t>
      </w:r>
      <w:r>
        <w:t xml:space="preserve">Healthcare Strategy Division, Montreal Regional Health Analytics</w:t>
      </w:r>
      <w:r>
        <w:br/>
      </w:r>
      <w:r>
        <w:rPr>
          <w:bCs/>
          <w:b/>
        </w:rPr>
        <w:t xml:space="preserve">Confidentiality Level:</w:t>
      </w:r>
      <w:r>
        <w:t xml:space="preserve"> </w:t>
      </w:r>
      <w:r>
        <w:t xml:space="preserve">Internal Use - Quebec MSSS Partners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 Analysis &amp; Strategic Sales Report - Canada Montreal</dc:title>
  <dc:creator/>
  <dc:language>en</dc:language>
  <cp:keywords/>
  <dcterms:created xsi:type="dcterms:W3CDTF">2026-07-21T13:15:11Z</dcterms:created>
  <dcterms:modified xsi:type="dcterms:W3CDTF">2026-07-21T13:15:11Z</dcterms:modified>
</cp:coreProperties>
</file>

<file path=docProps/custom.xml><?xml version="1.0" encoding="utf-8"?>
<Properties xmlns="http://schemas.openxmlformats.org/officeDocument/2006/custom-properties" xmlns:vt="http://schemas.openxmlformats.org/officeDocument/2006/docPropsVTypes"/>
</file>