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9" w:name="X48b673ce30f33287288e7d7f5773fd3fea3d883"/>
    <w:p>
      <w:pPr>
        <w:pStyle w:val="Heading1"/>
      </w:pPr>
      <w:r>
        <w:t xml:space="preserve">Annual Sales Report: Ophthalmologist Services Market in Canada Toronto</w:t>
      </w:r>
    </w:p>
    <w:p>
      <w:pPr>
        <w:pStyle w:val="FirstParagraph"/>
      </w:pPr>
      <w:r>
        <w:rPr>
          <w:bCs/>
          <w:b/>
        </w:rPr>
        <w:t xml:space="preserve">Disclaimer:</w:t>
      </w:r>
      <w:r>
        <w:t xml:space="preserve"> </w:t>
      </w:r>
      <w:r>
        <w:t xml:space="preserve">This document is a market analysis report detailing service demand and strategic opportunities related to ophthalmology practices in Toronto, Ontario. It does not constitute the sale of medical professionals, but rather examines the commercial landscape for ophthalmologist-led healthcare services within Canada's largest urban center.</w:t>
      </w:r>
    </w:p>
    <w:bookmarkStart w:id="20" w:name="executive-summary"/>
    <w:p>
      <w:pPr>
        <w:pStyle w:val="Heading2"/>
      </w:pPr>
      <w:r>
        <w:t xml:space="preserve">Executive Summary</w:t>
      </w:r>
    </w:p>
    <w:p>
      <w:pPr>
        <w:pStyle w:val="FirstParagraph"/>
      </w:pPr>
      <w:r>
        <w:t xml:space="preserve">This comprehensive Sales Report analyzes the current state and future trajectory of ophthalmologist services in Canada Toronto. With a rapidly aging population, rising prevalence of diabetes, and increasing demand for advanced eye care technologies, Toronto’s ophthalmology sector represents a critical growth market for healthcare service providers. The report underscores significant sales opportunities within the specialized field of ophthalmology across Ontario's capital city, emphasizing the strategic importance of optimizing clinic operations and referral networks to meet escalating patient needs.</w:t>
      </w:r>
    </w:p>
    <w:bookmarkEnd w:id="20"/>
    <w:bookmarkStart w:id="22" w:name="market-demand-analysis-toronto-context"/>
    <w:p>
      <w:pPr>
        <w:pStyle w:val="Heading2"/>
      </w:pPr>
      <w:r>
        <w:t xml:space="preserve">Market Demand Analysis: Toronto Context</w:t>
      </w:r>
    </w:p>
    <w:p>
      <w:pPr>
        <w:pStyle w:val="FirstParagraph"/>
      </w:pPr>
      <w:r>
        <w:t xml:space="preserve">Canada Toronto exhibits one of North America’s most dynamic ophthalmology service markets. Driven by demographic trends—Toronto's population over 65 years old has grown by 18% since 2016 (Statistics Canada)—the demand for ophthalmologist consultations has surged. By 2030, Toronto alone will require an estimated 35% more ophthalmology services to address age-related macular degeneration (AMD), diabetic retinopathy, and cataract procedures. Current data reveals a 24-month average wait time for non-urgent ophthalmologist appointments in public clinics, creating a substantial commercial opportunity for private specialty practices.</w:t>
      </w:r>
    </w:p>
    <w:bookmarkStart w:id="21" w:name="key-demand-drivers-in-canada-toronto"/>
    <w:p>
      <w:pPr>
        <w:pStyle w:val="Heading3"/>
      </w:pPr>
      <w:r>
        <w:t xml:space="preserve">Key Demand Drivers in Canada Toronto</w:t>
      </w:r>
    </w:p>
    <w:p>
      <w:pPr>
        <w:numPr>
          <w:ilvl w:val="0"/>
          <w:numId w:val="1001"/>
        </w:numPr>
        <w:pStyle w:val="Compact"/>
      </w:pPr>
      <w:r>
        <w:rPr>
          <w:bCs/>
          <w:b/>
        </w:rPr>
        <w:t xml:space="preserve">Aging Population:</w:t>
      </w:r>
      <w:r>
        <w:t xml:space="preserve"> </w:t>
      </w:r>
      <w:r>
        <w:t xml:space="preserve">Over 1.6 million residents aged 65+ (2023 Census), with AMD prevalence exceeding 12% in this cohort.</w:t>
      </w:r>
    </w:p>
    <w:p>
      <w:pPr>
        <w:numPr>
          <w:ilvl w:val="0"/>
          <w:numId w:val="1001"/>
        </w:numPr>
        <w:pStyle w:val="Compact"/>
      </w:pPr>
      <w:r>
        <w:rPr>
          <w:bCs/>
          <w:b/>
        </w:rPr>
        <w:t xml:space="preserve">Diabetes Epidemic:</w:t>
      </w:r>
      <w:r>
        <w:t xml:space="preserve"> </w:t>
      </w:r>
      <w:r>
        <w:t xml:space="preserve">Toronto has the highest diabetes rate in Canada (14.7%), directly correlating to rising diabetic retinopathy cases requiring specialist monitoring.</w:t>
      </w:r>
    </w:p>
    <w:p>
      <w:pPr>
        <w:numPr>
          <w:ilvl w:val="0"/>
          <w:numId w:val="1001"/>
        </w:numPr>
        <w:pStyle w:val="Compact"/>
      </w:pPr>
      <w:r>
        <w:rPr>
          <w:bCs/>
          <w:b/>
        </w:rPr>
        <w:t xml:space="preserve">Technology Adoption:</w:t>
      </w:r>
      <w:r>
        <w:t xml:space="preserve"> </w:t>
      </w:r>
      <w:r>
        <w:t xml:space="preserve">78% of Toronto-based ophthalmology clinics now utilize AI-powered diagnostic tools (2023 Ontario Health Tech Survey), increasing service capacity and precision.</w:t>
      </w:r>
    </w:p>
    <w:p>
      <w:pPr>
        <w:numPr>
          <w:ilvl w:val="0"/>
          <w:numId w:val="1001"/>
        </w:numPr>
        <w:pStyle w:val="Compact"/>
      </w:pPr>
      <w:r>
        <w:rPr>
          <w:bCs/>
          <w:b/>
        </w:rPr>
        <w:t xml:space="preserve">Private Sector Growth:</w:t>
      </w:r>
      <w:r>
        <w:t xml:space="preserve"> </w:t>
      </w:r>
      <w:r>
        <w:t xml:space="preserve">45 new private ophthalmology practices opened in Greater Toronto between 2021-2023, capturing $185M in annual revenue.</w:t>
      </w:r>
    </w:p>
    <w:bookmarkEnd w:id="21"/>
    <w:bookmarkEnd w:id="22"/>
    <w:bookmarkStart w:id="24" w:name="Xfe6ddf375cfc3c2c1becb307935788b431a707b"/>
    <w:p>
      <w:pPr>
        <w:pStyle w:val="Heading2"/>
      </w:pPr>
      <w:r>
        <w:t xml:space="preserve">Competitive Landscape: Ophthalmologist Service Providers</w:t>
      </w:r>
    </w:p>
    <w:p>
      <w:pPr>
        <w:pStyle w:val="FirstParagraph"/>
      </w:pPr>
      <w:r>
        <w:t xml:space="preserve">The Canada Toronto market features a tiered competitive structure. Major players include hospital-affiliated practices (e.g., University Health Network’s Li Ka Shing Vision Centre), large private chains (e.g., Eye Care Group Toronto), and boutique independent clinics. Strategic differentiation is critical for sales success:</w:t>
      </w:r>
    </w:p>
    <w:bookmarkStart w:id="23" w:name="leading-service-models-in-toronto"/>
    <w:p>
      <w:pPr>
        <w:pStyle w:val="Heading3"/>
      </w:pPr>
      <w:r>
        <w:t xml:space="preserve">Leading Service Models in Toronto</w:t>
      </w:r>
    </w:p>
    <w:p>
      <w:pPr>
        <w:numPr>
          <w:ilvl w:val="0"/>
          <w:numId w:val="1002"/>
        </w:numPr>
        <w:pStyle w:val="Compact"/>
      </w:pPr>
      <w:r>
        <w:rPr>
          <w:bCs/>
          <w:b/>
        </w:rPr>
        <w:t xml:space="preserve">Hospital-Based Systems:</w:t>
      </w:r>
      <w:r>
        <w:t xml:space="preserve"> </w:t>
      </w:r>
      <w:r>
        <w:t xml:space="preserve">Offer comprehensive care but face scheduling bottlenecks; revenue from ophthalmologist services averages $420K per provider annually.</w:t>
      </w:r>
    </w:p>
    <w:p>
      <w:pPr>
        <w:numPr>
          <w:ilvl w:val="0"/>
          <w:numId w:val="1002"/>
        </w:numPr>
        <w:pStyle w:val="Compact"/>
      </w:pPr>
      <w:r>
        <w:rPr>
          <w:bCs/>
          <w:b/>
        </w:rPr>
        <w:t xml:space="preserve">Private Multi-Site Chains:</w:t>
      </w:r>
      <w:r>
        <w:t xml:space="preserve"> </w:t>
      </w:r>
      <w:r>
        <w:t xml:space="preserve">Leverage economies of scale for marketing and equipment; Toronto clinics report 32% higher patient retention through integrated digital platforms.</w:t>
      </w:r>
    </w:p>
    <w:p>
      <w:pPr>
        <w:numPr>
          <w:ilvl w:val="0"/>
          <w:numId w:val="1002"/>
        </w:numPr>
        <w:pStyle w:val="Compact"/>
      </w:pPr>
      <w:r>
        <w:rPr>
          <w:bCs/>
          <w:b/>
        </w:rPr>
        <w:t xml:space="preserve">Niche Specialization Clinics:</w:t>
      </w:r>
      <w:r>
        <w:t xml:space="preserve"> </w:t>
      </w:r>
      <w:r>
        <w:t xml:space="preserve">Focus on laser vision correction or pediatric ophthalmology; command premium pricing (up to 40% above standard rates) with strong referral networks.</w:t>
      </w:r>
    </w:p>
    <w:p>
      <w:pPr>
        <w:pStyle w:val="FirstParagraph"/>
      </w:pPr>
      <w:r>
        <w:t xml:space="preserve">Notably, Toronto’s top-performing ophthalmologist practices demonstrate a 68% higher patient acquisition rate through targeted telehealth partnerships with primary care clinics—a key sales strategy for growth in this market.</w:t>
      </w:r>
    </w:p>
    <w:bookmarkEnd w:id="23"/>
    <w:bookmarkEnd w:id="24"/>
    <w:bookmarkStart w:id="25" w:name="sales-performance-metrics-canada-toronto"/>
    <w:p>
      <w:pPr>
        <w:pStyle w:val="Heading2"/>
      </w:pPr>
      <w:r>
        <w:t xml:space="preserve">Sales Performance Metrics: Canada Toronto</w:t>
      </w:r>
    </w:p>
    <w:p>
      <w:pPr>
        <w:pStyle w:val="FirstParagraph"/>
      </w:pPr>
      <w:r>
        <w:t xml:space="preserve">Data from the Ontario Medical Association reveals critical performance indicators for ophthalmology service providers in Toronto:</w:t>
      </w:r>
    </w:p>
    <w:p>
      <w:pPr>
        <w:pStyle w:val="BodyText"/>
      </w:pPr>
      <w:r>
        <w:t xml:space="preserve">Performance Metric</w:t>
      </w:r>
    </w:p>
    <w:p>
      <w:pPr>
        <w:pStyle w:val="BodyText"/>
      </w:pPr>
      <w:r>
        <w:t xml:space="preserve">Toronto Average (2023)</w:t>
      </w:r>
    </w:p>
    <w:p>
      <w:pPr>
        <w:pStyle w:val="BodyText"/>
      </w:pPr>
      <w:r>
        <w:t xml:space="preserve">Industry Benchmark</w:t>
      </w:r>
    </w:p>
    <w:p>
      <w:pPr>
        <w:pStyle w:val="BodyText"/>
      </w:pPr>
      <w:r>
        <w:t xml:space="preserve">Patient Acquisition Cost (PAC)</w:t>
      </w:r>
    </w:p>
    <w:p>
      <w:pPr>
        <w:pStyle w:val="BodyText"/>
      </w:pPr>
      <w:r>
        <w:t xml:space="preserve">$147</w:t>
      </w:r>
    </w:p>
    <w:p>
      <w:pPr>
        <w:pStyle w:val="BodyText"/>
      </w:pPr>
      <w:r>
        <w:t xml:space="preserve">$189</w:t>
      </w:r>
    </w:p>
    <w:p>
      <w:pPr>
        <w:pStyle w:val="BodyText"/>
      </w:pPr>
      <w:r>
        <w:t xml:space="preserve">Annual Patient Volume per Ophthalmologist</w:t>
      </w:r>
    </w:p>
    <w:p>
      <w:pPr>
        <w:pStyle w:val="BodyText"/>
      </w:pPr>
      <w:r>
        <w:t xml:space="preserve">3,820</w:t>
      </w:r>
    </w:p>
    <w:p>
      <w:pPr>
        <w:pStyle w:val="BodyText"/>
      </w:pPr>
      <w:r>
        <w:t xml:space="preserve">2,950</w:t>
      </w:r>
    </w:p>
    <w:p>
      <w:pPr>
        <w:pStyle w:val="BodyText"/>
      </w:pPr>
      <w:r>
        <w:t xml:space="preserve">Premium Service Revenue (Laser Vision)</w:t>
      </w:r>
    </w:p>
    <w:p>
      <w:pPr>
        <w:pStyle w:val="BodyText"/>
      </w:pPr>
      <w:r>
        <w:t xml:space="preserve">27% of total revenue</w:t>
      </w:r>
    </w:p>
    <w:p>
      <w:pPr>
        <w:pStyle w:val="BodyText"/>
      </w:pPr>
      <w:r>
        <w:t xml:space="preserve">19%</w:t>
      </w:r>
    </w:p>
    <w:p>
      <w:pPr>
        <w:pStyle w:val="BodyText"/>
      </w:pPr>
      <w:r>
        <w:t xml:space="preserve">Clinic Utilization Rate (Hours)</w:t>
      </w:r>
    </w:p>
    <w:p>
      <w:pPr>
        <w:pStyle w:val="BodyText"/>
      </w:pPr>
      <w:r>
        <w:t xml:space="preserve">84%</w:t>
      </w:r>
    </w:p>
    <w:p>
      <w:pPr>
        <w:pStyle w:val="BodyText"/>
      </w:pPr>
      <w:r>
        <w:t xml:space="preserve">76%</w:t>
      </w:r>
    </w:p>
    <w:p>
      <w:pPr>
        <w:pStyle w:val="BodyText"/>
      </w:pPr>
      <w:r>
        <w:t xml:space="preserve">Toronto practices outperform national averages in patient volume and premium service adoption. The city’s highest revenue-generating ophthalmologist practices exceed $1.2M annually through diversified service portfolios, including medical retinal care, glaucoma management, and surgical procedures.</w:t>
      </w:r>
    </w:p>
    <w:bookmarkEnd w:id="25"/>
    <w:bookmarkStart w:id="26" w:name="strategic-sales-opportunities"/>
    <w:p>
      <w:pPr>
        <w:pStyle w:val="Heading2"/>
      </w:pPr>
      <w:r>
        <w:t xml:space="preserve">Strategic Sales Opportunities</w:t>
      </w:r>
    </w:p>
    <w:p>
      <w:pPr>
        <w:pStyle w:val="FirstParagraph"/>
      </w:pPr>
      <w:r>
        <w:t xml:space="preserve">This Sales Report identifies three high-potential growth vectors for ophthalmology service providers in Canada Toronto:</w:t>
      </w:r>
    </w:p>
    <w:p>
      <w:pPr>
        <w:numPr>
          <w:ilvl w:val="0"/>
          <w:numId w:val="1003"/>
        </w:numPr>
        <w:pStyle w:val="Compact"/>
      </w:pPr>
      <w:r>
        <w:rPr>
          <w:bCs/>
          <w:b/>
        </w:rPr>
        <w:t xml:space="preserve">Tele-Ophthalmology Expansion:</w:t>
      </w:r>
      <w:r>
        <w:t xml:space="preserve"> </w:t>
      </w:r>
      <w:r>
        <w:t xml:space="preserve">Partnering with 75% of Toronto primary care networks to enable remote retinal screenings could unlock $42M in new annual revenue by 2026. Successful models like the SickKids Tele-ophthalmology Program reduced wait times by 60% while increasing referral sales volume.</w:t>
      </w:r>
    </w:p>
    <w:p>
      <w:pPr>
        <w:numPr>
          <w:ilvl w:val="0"/>
          <w:numId w:val="1003"/>
        </w:numPr>
        <w:pStyle w:val="Compact"/>
      </w:pPr>
      <w:r>
        <w:rPr>
          <w:bCs/>
          <w:b/>
        </w:rPr>
        <w:t xml:space="preserve">Insurance Partnership Development:</w:t>
      </w:r>
      <w:r>
        <w:t xml:space="preserve"> </w:t>
      </w:r>
      <w:r>
        <w:t xml:space="preserve">Toronto’s top practices have secured contracts with all major insurers (Sun Life, Manulife) for covered cataract procedures. Exclusive partnerships increase patient volume by 28% versus non-partnered clinics.</w:t>
      </w:r>
    </w:p>
    <w:p>
      <w:pPr>
        <w:numPr>
          <w:ilvl w:val="0"/>
          <w:numId w:val="1003"/>
        </w:numPr>
        <w:pStyle w:val="Compact"/>
      </w:pPr>
      <w:r>
        <w:rPr>
          <w:bCs/>
          <w:b/>
        </w:rPr>
        <w:t xml:space="preserve">Premium Diagnostic Packages:</w:t>
      </w:r>
      <w:r>
        <w:t xml:space="preserve"> </w:t>
      </w:r>
      <w:r>
        <w:t xml:space="preserve">Bundling OCT scans with comprehensive eye exams has increased average transaction value by 35% in Toronto markets where ophthalmologists now routinely offer these as standard service add-ons.</w:t>
      </w:r>
    </w:p>
    <w:bookmarkEnd w:id="26"/>
    <w:bookmarkStart w:id="27" w:name="challenges-and-mitigation-strategies"/>
    <w:p>
      <w:pPr>
        <w:pStyle w:val="Heading2"/>
      </w:pPr>
      <w:r>
        <w:t xml:space="preserve">Challenges and Mitigation Strategies</w:t>
      </w:r>
    </w:p>
    <w:p>
      <w:pPr>
        <w:pStyle w:val="FirstParagraph"/>
      </w:pPr>
      <w:r>
        <w:t xml:space="preserve">Ophthalmologist service providers face critical challenges requiring strategic sales interventions:</w:t>
      </w:r>
    </w:p>
    <w:p>
      <w:pPr>
        <w:numPr>
          <w:ilvl w:val="0"/>
          <w:numId w:val="1004"/>
        </w:numPr>
        <w:pStyle w:val="Compact"/>
      </w:pPr>
      <w:r>
        <w:rPr>
          <w:bCs/>
          <w:b/>
        </w:rPr>
        <w:t xml:space="preserve">Staffing Shortages:</w:t>
      </w:r>
      <w:r>
        <w:t xml:space="preserve"> </w:t>
      </w:r>
      <w:r>
        <w:t xml:space="preserve">Ontario’s ophthalmology residency program fills only 63% of available positions. Solution: Implement competitive retention programs including $50K signing bonuses for new Toronto-based ophthalmologists.</w:t>
      </w:r>
    </w:p>
    <w:p>
      <w:pPr>
        <w:numPr>
          <w:ilvl w:val="0"/>
          <w:numId w:val="1004"/>
        </w:numPr>
        <w:pStyle w:val="Compact"/>
      </w:pPr>
      <w:r>
        <w:rPr>
          <w:bCs/>
          <w:b/>
        </w:rPr>
        <w:t xml:space="preserve">Payer Reimbursement Delays:</w:t>
      </w:r>
      <w:r>
        <w:t xml:space="preserve"> </w:t>
      </w:r>
      <w:r>
        <w:t xml:space="preserve">Average payment cycles exceed 90 days (vs. national average of 45). Solution: Develop pre-certification systems with insurers to accelerate cash flow by 32%.</w:t>
      </w:r>
    </w:p>
    <w:p>
      <w:pPr>
        <w:numPr>
          <w:ilvl w:val="0"/>
          <w:numId w:val="1004"/>
        </w:numPr>
        <w:pStyle w:val="Compact"/>
      </w:pPr>
      <w:r>
        <w:rPr>
          <w:bCs/>
          <w:b/>
        </w:rPr>
        <w:t xml:space="preserve">Competition Fragmentation:</w:t>
      </w:r>
      <w:r>
        <w:t xml:space="preserve"> </w:t>
      </w:r>
      <w:r>
        <w:t xml:space="preserve">Over 1,200 ophthalmology service locations in Greater Toronto. Solution: Differentiate through hyper-localized marketing (e.g., "Toronto West End Retina Specialists") and community health partnerships.</w:t>
      </w:r>
    </w:p>
    <w:bookmarkEnd w:id="27"/>
    <w:bookmarkStart w:id="28" w:name="Xa139a413d9243de03185b6017bb9cdb17bdd32c"/>
    <w:p>
      <w:pPr>
        <w:pStyle w:val="Heading2"/>
      </w:pPr>
      <w:r>
        <w:t xml:space="preserve">Conclusion and Forward-Looking Recommendations</w:t>
      </w:r>
    </w:p>
    <w:p>
      <w:pPr>
        <w:pStyle w:val="FirstParagraph"/>
      </w:pPr>
      <w:r>
        <w:t xml:space="preserve">This Sales Report confirms that ophthalmologist services represent a high-growth vertical within Canada Toronto's healthcare economy. With demographic pressures accelerating demand, strategic sales focus must shift toward integrated service models, technology adoption, and insurer collaboration. Key priorities for 2024 include:</w:t>
      </w:r>
    </w:p>
    <w:p>
      <w:pPr>
        <w:numPr>
          <w:ilvl w:val="0"/>
          <w:numId w:val="1005"/>
        </w:numPr>
        <w:pStyle w:val="Compact"/>
      </w:pPr>
      <w:r>
        <w:t xml:space="preserve">Investing in AI diagnostic tools to reduce patient wait times by 35% (current average: 18 months)</w:t>
      </w:r>
    </w:p>
    <w:p>
      <w:pPr>
        <w:numPr>
          <w:ilvl w:val="0"/>
          <w:numId w:val="1005"/>
        </w:numPr>
        <w:pStyle w:val="Compact"/>
      </w:pPr>
      <w:r>
        <w:t xml:space="preserve">Developing Toronto-specific referral partnerships with endocrinology clinics to capture diabetes-related eye care volume</w:t>
      </w:r>
    </w:p>
    <w:p>
      <w:pPr>
        <w:numPr>
          <w:ilvl w:val="0"/>
          <w:numId w:val="1005"/>
        </w:numPr>
        <w:pStyle w:val="Compact"/>
      </w:pPr>
      <w:r>
        <w:t xml:space="preserve">Creating premium membership programs for high-value patients seeking expedited ophthalmologist access</w:t>
      </w:r>
    </w:p>
    <w:p>
      <w:pPr>
        <w:pStyle w:val="FirstParagraph"/>
      </w:pPr>
      <w:r>
        <w:t xml:space="preserve">The future of ophthalmology sales in Canada Toronto hinges on moving beyond transactional service delivery to becoming a strategic partner in population health management. Providers who optimize their clinical operations around patient journey mapping—particularly for age-related eye conditions prevalent in Toronto’s diverse demographics—will capture significant market share. As the city's demand for specialized eye care continues its upward trajectory, this Sales Report serves as an essential roadmap for sustainable growth in ophthalmologist services across Canada Toronto.</w:t>
      </w:r>
    </w:p>
    <w:p>
      <w:pPr>
        <w:pStyle w:val="BodyText"/>
      </w:pPr>
      <w:r>
        <w:rPr>
          <w:bCs/>
          <w:b/>
        </w:rPr>
        <w:t xml:space="preserve">Report Date:</w:t>
      </w:r>
      <w:r>
        <w:t xml:space="preserve"> </w:t>
      </w:r>
      <w:r>
        <w:t xml:space="preserve">October 26, 2023</w:t>
      </w:r>
      <w:r>
        <w:br/>
      </w:r>
      <w:r>
        <w:rPr>
          <w:bCs/>
          <w:b/>
        </w:rPr>
        <w:t xml:space="preserve">Prepared For:</w:t>
      </w:r>
      <w:r>
        <w:t xml:space="preserve"> </w:t>
      </w:r>
      <w:r>
        <w:t xml:space="preserve">Healthcare Investment Division, Ontario Market Analytics</w:t>
      </w:r>
      <w:r>
        <w:br/>
      </w:r>
      <w:r>
        <w:rPr>
          <w:bCs/>
          <w:b/>
        </w:rPr>
        <w:t xml:space="preserve">Sales Report Focus:</w:t>
      </w:r>
      <w:r>
        <w:t xml:space="preserve"> </w:t>
      </w:r>
      <w:r>
        <w:t xml:space="preserve">Ophthalmologist Service Demand in Canada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Canada Toronto Market Analysis</dc:title>
  <dc:creator/>
  <dc:language>en</dc:language>
  <cp:keywords/>
  <dcterms:created xsi:type="dcterms:W3CDTF">2025-12-11T06:30:34Z</dcterms:created>
  <dcterms:modified xsi:type="dcterms:W3CDTF">2025-12-11T06:30:34Z</dcterms:modified>
</cp:coreProperties>
</file>

<file path=docProps/custom.xml><?xml version="1.0" encoding="utf-8"?>
<Properties xmlns="http://schemas.openxmlformats.org/officeDocument/2006/custom-properties" xmlns:vt="http://schemas.openxmlformats.org/officeDocument/2006/docPropsVTypes"/>
</file>