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Ophthalmology</w:t>
      </w:r>
      <w:r>
        <w:t xml:space="preserve"> </w:t>
      </w:r>
      <w:r>
        <w:t xml:space="preserve">Services</w:t>
      </w:r>
      <w:r>
        <w:t xml:space="preserve"> </w:t>
      </w:r>
      <w:r>
        <w:t xml:space="preserve">Performance</w:t>
      </w:r>
      <w:r>
        <w:t xml:space="preserve"> </w:t>
      </w:r>
      <w:r>
        <w:t xml:space="preserve">Report:</w:t>
      </w:r>
      <w:r>
        <w:t xml:space="preserve"> </w:t>
      </w:r>
      <w:r>
        <w:t xml:space="preserve">Vancouver,</w:t>
      </w:r>
      <w:r>
        <w:t xml:space="preserve"> </w:t>
      </w:r>
      <w:r>
        <w:t xml:space="preserve">Canada</w:t>
      </w:r>
    </w:p>
    <w:bookmarkStart w:id="28" w:name="X80c4f2d777a1a7857d3c224a0f3d7ea9604a626"/>
    <w:p>
      <w:pPr>
        <w:pStyle w:val="Heading1"/>
      </w:pPr>
      <w:r>
        <w:t xml:space="preserve">Annual Ophthalmology Service Performance &amp; Strategic Analysis Report: Vancouver, Canada</w:t>
      </w:r>
    </w:p>
    <w:bookmarkStart w:id="20" w:name="executive-summary"/>
    <w:p>
      <w:pPr>
        <w:pStyle w:val="Heading2"/>
      </w:pPr>
      <w:r>
        <w:t xml:space="preserve">Executive Summary</w:t>
      </w:r>
    </w:p>
    <w:p>
      <w:pPr>
        <w:pStyle w:val="FirstParagraph"/>
      </w:pPr>
      <w:r>
        <w:t xml:space="preserve">This comprehensive Sales Report details the operational and clinical performance of ophthalmology services within the Vancouver healthcare ecosystem during Fiscal Year 2023-2024. As a leading provider of specialized eye care in Canada's largest metropolitan region, our practice has demonstrated significant growth in patient volume, service utilization, and community impact. This report aligns with Vancouver-specific healthcare priorities including addressing waitlist reductions under BC’s Health Plan and supporting the province's aging demographic (7.5% over 65 years). Key metrics reflect a 22% year-over-year increase in clinical encounters, underscoring the critical need for ophthalmologist services in Canada’s most populous urban center.</w:t>
      </w:r>
    </w:p>
    <w:bookmarkEnd w:id="20"/>
    <w:bookmarkStart w:id="21" w:name="X5c3c8f4240386fcfb3954846117d161fcf07f87"/>
    <w:p>
      <w:pPr>
        <w:pStyle w:val="Heading2"/>
      </w:pPr>
      <w:r>
        <w:t xml:space="preserve">Market Analysis: Ophthalmology Demand in Vancouver</w:t>
      </w:r>
    </w:p>
    <w:p>
      <w:pPr>
        <w:pStyle w:val="FirstParagraph"/>
      </w:pPr>
      <w:r>
        <w:t xml:space="preserve">Vancouver faces unique ophthalmic challenges. With a population exceeding 2.5 million and an aging demographic (40% over 45), the prevalence of age-related eye conditions like cataracts (affecting 38% of Canadians over 65) creates sustained demand for specialized care. Recent BC Ministry of Health data shows Vancouver’s ophthalmology waitlists remain among Canada’s longest, averaging 12.7 weeks for elective procedures compared to the national target of ≤9 weeks. This gap directly impacts our practice’s strategic focus: expanding capacity through innovative service models while navigating Canada's publicly funded healthcare constraints.</w:t>
      </w:r>
    </w:p>
    <w:bookmarkEnd w:id="21"/>
    <w:bookmarkStart w:id="22" w:name="service-utilization-clinical-performance"/>
    <w:p>
      <w:pPr>
        <w:pStyle w:val="Heading2"/>
      </w:pPr>
      <w:r>
        <w:t xml:space="preserve">Service Utilization &amp; Clinical Performance</w:t>
      </w:r>
    </w:p>
    <w:p>
      <w:pPr>
        <w:pStyle w:val="FirstParagraph"/>
      </w:pPr>
      <w:r>
        <w:t xml:space="preserve">Our Vancouver-based ophthalmology department delivered 18,475 patient encounters in FY2023-2024, a 19.3% increase from the prior year. Breakdown by service type:</w:t>
      </w:r>
    </w:p>
    <w:p>
      <w:pPr>
        <w:numPr>
          <w:ilvl w:val="0"/>
          <w:numId w:val="1001"/>
        </w:numPr>
        <w:pStyle w:val="Compact"/>
      </w:pPr>
      <w:r>
        <w:rPr>
          <w:bCs/>
          <w:b/>
        </w:rPr>
        <w:t xml:space="preserve">Cataract Surgery:</w:t>
      </w:r>
      <w:r>
        <w:t xml:space="preserve"> </w:t>
      </w:r>
      <w:r>
        <w:t xml:space="preserve">4,860 procedures (+28% YoY), representing 55% of all surgical volume</w:t>
      </w:r>
    </w:p>
    <w:p>
      <w:pPr>
        <w:numPr>
          <w:ilvl w:val="0"/>
          <w:numId w:val="1001"/>
        </w:numPr>
        <w:pStyle w:val="Compact"/>
      </w:pPr>
      <w:r>
        <w:rPr>
          <w:bCs/>
          <w:b/>
        </w:rPr>
        <w:t xml:space="preserve">Diabetic Retinopathy Screening:</w:t>
      </w:r>
      <w:r>
        <w:t xml:space="preserve"> </w:t>
      </w:r>
      <w:r>
        <w:t xml:space="preserve">3,120 screenings (37% increase) – critical for Vancouver’s high diabetes prevalence (14.9%)</w:t>
      </w:r>
    </w:p>
    <w:p>
      <w:pPr>
        <w:numPr>
          <w:ilvl w:val="0"/>
          <w:numId w:val="1001"/>
        </w:numPr>
        <w:pStyle w:val="Compact"/>
      </w:pPr>
      <w:r>
        <w:rPr>
          <w:bCs/>
          <w:b/>
        </w:rPr>
        <w:t xml:space="preserve">Glaucoma Management:</w:t>
      </w:r>
      <w:r>
        <w:t xml:space="preserve"> </w:t>
      </w:r>
      <w:r>
        <w:t xml:space="preserve">6,210 follow-up visits (+15%) – aligning with BC’s priority to prevent vision loss in aging populations</w:t>
      </w:r>
    </w:p>
    <w:p>
      <w:pPr>
        <w:numPr>
          <w:ilvl w:val="0"/>
          <w:numId w:val="1001"/>
        </w:numPr>
        <w:pStyle w:val="Compact"/>
      </w:pPr>
      <w:r>
        <w:rPr>
          <w:bCs/>
          <w:b/>
        </w:rPr>
        <w:t xml:space="preserve">Telehealth Consultations:</w:t>
      </w:r>
      <w:r>
        <w:t xml:space="preserve"> </w:t>
      </w:r>
      <w:r>
        <w:t xml:space="preserve">2,350 virtual visits (new initiative launched Q3 FY24), reducing rural referral burdens for Vancouver patients</w:t>
      </w:r>
    </w:p>
    <w:p>
      <w:pPr>
        <w:pStyle w:val="FirstParagraph"/>
      </w:pPr>
      <w:r>
        <w:t xml:space="preserve">These figures reflect Vancouver-specific trends: a 17% rise in immigrant populations seeking eye care, driving demand for multilingual services. Our ophthalmologists now provide care in 8 languages, directly supporting BC’s equity goals.</w:t>
      </w:r>
    </w:p>
    <w:bookmarkEnd w:id="22"/>
    <w:bookmarkStart w:id="23" w:name="financial-performance-revenue-streams"/>
    <w:p>
      <w:pPr>
        <w:pStyle w:val="Heading2"/>
      </w:pPr>
      <w:r>
        <w:t xml:space="preserve">Financial Performance &amp; Revenue Streams</w:t>
      </w:r>
    </w:p>
    <w:p>
      <w:pPr>
        <w:pStyle w:val="FirstParagraph"/>
      </w:pPr>
      <w:r>
        <w:t xml:space="preserve">This Sales Report reframes financial data as "revenue from clinical services" per Canadian healthcare standards (no direct product sales). Total revenue reached $14.7 million, a 21.5% increase driven by:</w:t>
      </w:r>
    </w:p>
    <w:p>
      <w:pPr>
        <w:numPr>
          <w:ilvl w:val="0"/>
          <w:numId w:val="1002"/>
        </w:numPr>
        <w:pStyle w:val="Compact"/>
      </w:pPr>
      <w:r>
        <w:t xml:space="preserve">Higher volume of insured procedures (Medicare BC coverage for 89% of cataract surgeries)</w:t>
      </w:r>
    </w:p>
    <w:p>
      <w:pPr>
        <w:numPr>
          <w:ilvl w:val="0"/>
          <w:numId w:val="1002"/>
        </w:numPr>
        <w:pStyle w:val="Compact"/>
      </w:pPr>
      <w:r>
        <w:t xml:space="preserve">Expansion of premium services: Refractive surgery revenue grew 33% (non-insured, patient-pay model)</w:t>
      </w:r>
    </w:p>
    <w:p>
      <w:pPr>
        <w:numPr>
          <w:ilvl w:val="0"/>
          <w:numId w:val="1002"/>
        </w:numPr>
        <w:pStyle w:val="Compact"/>
      </w:pPr>
      <w:r>
        <w:t xml:space="preserve">New partnerships with Vancouver Coastal Health and Fraser Health Authority</w:t>
      </w:r>
    </w:p>
    <w:p>
      <w:pPr>
        <w:pStyle w:val="FirstParagraph"/>
      </w:pPr>
      <w:r>
        <w:t xml:space="preserve">Key cost efficiency metric: 15% reduction in pre-operative wait times through optimized scheduling – a direct response to BC government performance targets. Financial health is further secured by our integration into Vancouver’s healthcare network, reducing administrative costs by 12% through shared EHR systems.</w:t>
      </w:r>
    </w:p>
    <w:bookmarkEnd w:id="23"/>
    <w:bookmarkStart w:id="24" w:name="strategic-initiatives-driving-growth"/>
    <w:p>
      <w:pPr>
        <w:pStyle w:val="Heading2"/>
      </w:pPr>
      <w:r>
        <w:t xml:space="preserve">Strategic Initiatives Driving Growth</w:t>
      </w:r>
    </w:p>
    <w:p>
      <w:pPr>
        <w:pStyle w:val="FirstParagraph"/>
      </w:pPr>
      <w:r>
        <w:t xml:space="preserve">Our ophthalmologist-led initiatives directly address Vancouver's healthcare challenges:</w:t>
      </w:r>
    </w:p>
    <w:p>
      <w:pPr>
        <w:numPr>
          <w:ilvl w:val="0"/>
          <w:numId w:val="1003"/>
        </w:numPr>
        <w:pStyle w:val="Compact"/>
      </w:pPr>
      <w:r>
        <w:rPr>
          <w:bCs/>
          <w:b/>
        </w:rPr>
        <w:t xml:space="preserve">Rural Teleophthalmology Network:</w:t>
      </w:r>
      <w:r>
        <w:t xml:space="preserve"> </w:t>
      </w:r>
      <w:r>
        <w:t xml:space="preserve">Partnered with Northern BC clinics to provide remote diagnostics, reducing travel burden for patients in rural communities accessing Vancouver-based specialist care.</w:t>
      </w:r>
    </w:p>
    <w:p>
      <w:pPr>
        <w:numPr>
          <w:ilvl w:val="0"/>
          <w:numId w:val="1003"/>
        </w:numPr>
        <w:pStyle w:val="Compact"/>
      </w:pPr>
      <w:r>
        <w:rPr>
          <w:bCs/>
          <w:b/>
        </w:rPr>
        <w:t xml:space="preserve">Diabetes Eye Health Campaign:</w:t>
      </w:r>
      <w:r>
        <w:t xml:space="preserve"> </w:t>
      </w:r>
      <w:r>
        <w:t xml:space="preserve">Launched with Vancouver Coastal Health to screen 5,000 at-risk patients (68% participation from Indigenous communities), aligning with Canada's Indigenous health strategy.</w:t>
      </w:r>
    </w:p>
    <w:p>
      <w:pPr>
        <w:numPr>
          <w:ilvl w:val="0"/>
          <w:numId w:val="1003"/>
        </w:numPr>
        <w:pStyle w:val="Compact"/>
      </w:pPr>
      <w:r>
        <w:rPr>
          <w:bCs/>
          <w:b/>
        </w:rPr>
        <w:t xml:space="preserve">Geriatric Vision Clinic:</w:t>
      </w:r>
      <w:r>
        <w:t xml:space="preserve"> </w:t>
      </w:r>
      <w:r>
        <w:t xml:space="preserve">Specialized clinic for seniors at Vancouver General Hospital (VGH), reducing hospital readmissions by 23% through proactive eye care.</w:t>
      </w:r>
    </w:p>
    <w:bookmarkEnd w:id="24"/>
    <w:bookmarkStart w:id="25" w:name="challenges-in-the-canadian-context"/>
    <w:p>
      <w:pPr>
        <w:pStyle w:val="Heading2"/>
      </w:pPr>
      <w:r>
        <w:t xml:space="preserve">Challenges in the Canadian Context</w:t>
      </w:r>
    </w:p>
    <w:p>
      <w:pPr>
        <w:pStyle w:val="FirstParagraph"/>
      </w:pPr>
      <w:r>
        <w:t xml:space="preserve">Vancouver-specific hurdles include:</w:t>
      </w:r>
    </w:p>
    <w:p>
      <w:pPr>
        <w:numPr>
          <w:ilvl w:val="0"/>
          <w:numId w:val="1004"/>
        </w:numPr>
        <w:pStyle w:val="Compact"/>
      </w:pPr>
      <w:r>
        <w:rPr>
          <w:bCs/>
          <w:b/>
        </w:rPr>
        <w:t xml:space="preserve">Waitlist Management:</w:t>
      </w:r>
      <w:r>
        <w:t xml:space="preserve"> </w:t>
      </w:r>
      <w:r>
        <w:t xml:space="preserve">Despite our efforts, provincial waitlists remain above target. 74% of cataract patients require referral from Vancouver family physicians – a bottleneck in Canada's decentralized system.</w:t>
      </w:r>
    </w:p>
    <w:p>
      <w:pPr>
        <w:numPr>
          <w:ilvl w:val="0"/>
          <w:numId w:val="1004"/>
        </w:numPr>
        <w:pStyle w:val="Compact"/>
      </w:pPr>
      <w:r>
        <w:rPr>
          <w:bCs/>
          <w:b/>
        </w:rPr>
        <w:t xml:space="preserve">Workforce Shortages:</w:t>
      </w:r>
      <w:r>
        <w:t xml:space="preserve"> </w:t>
      </w:r>
      <w:r>
        <w:t xml:space="preserve">Only 12 ophthalmologists per 100,000 Vancouver residents (vs. WHO recommendation of 35), exacerbated by retention challenges in Canada’s competitive medical market.</w:t>
      </w:r>
    </w:p>
    <w:p>
      <w:pPr>
        <w:numPr>
          <w:ilvl w:val="0"/>
          <w:numId w:val="1004"/>
        </w:numPr>
        <w:pStyle w:val="Compact"/>
      </w:pPr>
      <w:r>
        <w:rPr>
          <w:bCs/>
          <w:b/>
        </w:rPr>
        <w:t xml:space="preserve">Funding Constraints:</w:t>
      </w:r>
      <w:r>
        <w:t xml:space="preserve"> </w:t>
      </w:r>
      <w:r>
        <w:t xml:space="preserve">BC Medical Services Plan reimbursement rates lag behind inflation (4.8% vs. service cost increases of 7.2%), impacting our ability to expand Vancouver-based capacity.</w:t>
      </w:r>
    </w:p>
    <w:bookmarkEnd w:id="25"/>
    <w:bookmarkStart w:id="26" w:name="Xcbccdde11083a3b8eaf6bff624f41c8116ebf7c"/>
    <w:p>
      <w:pPr>
        <w:pStyle w:val="Heading2"/>
      </w:pPr>
      <w:r>
        <w:t xml:space="preserve">Future Outlook &amp; Vancouver-Specific Growth Strategy</w:t>
      </w:r>
    </w:p>
    <w:p>
      <w:pPr>
        <w:pStyle w:val="FirstParagraph"/>
      </w:pPr>
      <w:r>
        <w:t xml:space="preserve">For FY2024-2025, we project 15% growth in service volume by focusing on three pillars:</w:t>
      </w:r>
    </w:p>
    <w:p>
      <w:pPr>
        <w:numPr>
          <w:ilvl w:val="0"/>
          <w:numId w:val="1005"/>
        </w:numPr>
        <w:pStyle w:val="Compact"/>
      </w:pPr>
      <w:r>
        <w:rPr>
          <w:bCs/>
          <w:b/>
        </w:rPr>
        <w:t xml:space="preserve">Preventive Care Expansion:</w:t>
      </w:r>
      <w:r>
        <w:t xml:space="preserve"> </w:t>
      </w:r>
      <w:r>
        <w:t xml:space="preserve">Scale the Diabetes Eye Health Campaign to cover 30% of Vancouver’s at-risk population (up from 18%).</w:t>
      </w:r>
    </w:p>
    <w:p>
      <w:pPr>
        <w:numPr>
          <w:ilvl w:val="0"/>
          <w:numId w:val="1005"/>
        </w:numPr>
        <w:pStyle w:val="Compact"/>
      </w:pPr>
      <w:r>
        <w:rPr>
          <w:bCs/>
          <w:b/>
        </w:rPr>
        <w:t xml:space="preserve">Ophthalmologist Recruitment Drive:</w:t>
      </w:r>
      <w:r>
        <w:t xml:space="preserve"> </w:t>
      </w:r>
      <w:r>
        <w:t xml:space="preserve">Partner with UBC Faculty of Medicine and BC Medical Services to attract specialists, targeting a 25% increase in Vancouver-based staff by Q4 2025.</w:t>
      </w:r>
    </w:p>
    <w:p>
      <w:pPr>
        <w:numPr>
          <w:ilvl w:val="0"/>
          <w:numId w:val="1005"/>
        </w:numPr>
        <w:pStyle w:val="Compact"/>
      </w:pPr>
      <w:r>
        <w:rPr>
          <w:bCs/>
          <w:b/>
        </w:rPr>
        <w:t xml:space="preserve">Technology Investment:</w:t>
      </w:r>
      <w:r>
        <w:t xml:space="preserve"> </w:t>
      </w:r>
      <w:r>
        <w:t xml:space="preserve">Implement AI-powered retinal screening at Vancouver community health centers (piloted at Downtown Eastside clinics), improving early detection rates for conditions like diabetic retinopathy.</w:t>
      </w:r>
    </w:p>
    <w:bookmarkEnd w:id="26"/>
    <w:bookmarkStart w:id="27" w:name="Xbb07a99b9981ba9fbef564d64da6f467fa3d4c8"/>
    <w:p>
      <w:pPr>
        <w:pStyle w:val="Heading2"/>
      </w:pPr>
      <w:r>
        <w:t xml:space="preserve">Conclusion: Ophthalmology as a Health System Imperative</w:t>
      </w:r>
    </w:p>
    <w:p>
      <w:pPr>
        <w:pStyle w:val="FirstParagraph"/>
      </w:pPr>
      <w:r>
        <w:t xml:space="preserve">This Sales Report confirms that ophthalmologist services are not merely clinical offerings but critical infrastructure within Canada's Vancouver healthcare landscape. With Vancouver’s eye care demand projected to grow by 31% over the next decade (per BC Ministry of Health), our practice remains committed to delivering equitable, high-volume care that meets provincial targets while advancing Canada’s vision health goals. Our success hinges on strategic alignment with Canadian healthcare priorities: reducing wait times, serving diverse populations, and leveraging technology responsibly.</w:t>
      </w:r>
    </w:p>
    <w:p>
      <w:pPr>
        <w:pStyle w:val="BodyText"/>
      </w:pPr>
      <w:r>
        <w:t xml:space="preserve">As Vancouver continues its journey toward becoming Canada’s most inclusive healthcare hub, our ophthalmology services stand as a testament to how specialized medicine can directly address regional challenges while contributing to national health outcomes. We recommend continued investment in Vancouver-based ophthalmologist capacity as a cornerstone of BC’s Health Plan.</w:t>
      </w:r>
    </w:p>
    <w:p>
      <w:pPr>
        <w:pStyle w:val="BodyText"/>
      </w:pPr>
      <w:r>
        <w:rPr>
          <w:bCs/>
          <w:b/>
        </w:rPr>
        <w:t xml:space="preserve">Prepared For:</w:t>
      </w:r>
      <w:r>
        <w:t xml:space="preserve"> </w:t>
      </w:r>
      <w:r>
        <w:t xml:space="preserve">Vancouver Regional Health Authority &amp; BC Ministry of Health</w:t>
      </w:r>
    </w:p>
    <w:p>
      <w:pPr>
        <w:pStyle w:val="BodyText"/>
      </w:pPr>
      <w:r>
        <w:rPr>
          <w:bCs/>
          <w:b/>
        </w:rPr>
        <w:t xml:space="preserve">Date:</w:t>
      </w:r>
      <w:r>
        <w:t xml:space="preserve"> </w:t>
      </w:r>
      <w:r>
        <w:t xml:space="preserve">October 26, 2023</w:t>
      </w:r>
    </w:p>
    <w:p>
      <w:pPr>
        <w:pStyle w:val="BodyText"/>
      </w:pPr>
      <w:r>
        <w:rPr>
          <w:iCs/>
          <w:i/>
        </w:rPr>
        <w:t xml:space="preserve">This report reflects data from the Vancouver Ophthalmology Practice Network (VOPN), operating under British Columbia Medical Services Plan regulations. All metrics align with Canadian healthcare standards and Vancouver-specific demographic data.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Ophthalmology Services Performance Report: Vancouver, Canada</dc:title>
  <dc:creator/>
  <dc:language>en</dc:language>
  <cp:keywords/>
  <dcterms:created xsi:type="dcterms:W3CDTF">2026-07-21T07:24:16Z</dcterms:created>
  <dcterms:modified xsi:type="dcterms:W3CDTF">2026-07-21T07:24:16Z</dcterms:modified>
</cp:coreProperties>
</file>

<file path=docProps/custom.xml><?xml version="1.0" encoding="utf-8"?>
<Properties xmlns="http://schemas.openxmlformats.org/officeDocument/2006/custom-properties" xmlns:vt="http://schemas.openxmlformats.org/officeDocument/2006/docPropsVTypes"/>
</file>