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2" w:name="Xb882b80aca3c458b45a874fdbea6f59e4893708"/>
    <w:p>
      <w:pPr>
        <w:pStyle w:val="Heading1"/>
      </w:pPr>
      <w:r>
        <w:t xml:space="preserve">Comprehensive Sales Report for Ophthalmology Practice in Colombia Bogotá: Q3 2023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Board of Directors, EyeCare Specialists Bogotá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1 - September 30, 2023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operational and financial performance of our ophthalmology practice in Colombia Bogotá during Q3 2023. As a leading provider of comprehensive eye care services in the capital city, we maintained exceptional patient satisfaction while achieving a 14.7% year-over-year increase in total revenue. The strategic focus on advanced diagnostic technologies and community health initiatives has solidified our position as the preferred</w:t>
      </w:r>
      <w:r>
        <w:t xml:space="preserve"> </w:t>
      </w:r>
      <w:r>
        <w:rPr>
          <w:bCs/>
          <w:b/>
        </w:rPr>
        <w:t xml:space="preserve">Ophthalmologist</w:t>
      </w:r>
      <w:r>
        <w:t xml:space="preserve"> </w:t>
      </w:r>
      <w:r>
        <w:t xml:space="preserve">practice for both private insurance patients and public health program participants across Colombia Bogotá.</w:t>
      </w:r>
    </w:p>
    <w:bookmarkEnd w:id="20"/>
    <w:bookmarkStart w:id="21" w:name="X7aea60853e7010d6f08c894a62f6a830677b3a0"/>
    <w:p>
      <w:pPr>
        <w:pStyle w:val="Heading2"/>
      </w:pPr>
      <w:r>
        <w:t xml:space="preserve">Market Context: Ophthalmology Demand in Colombia Bogotá</w:t>
      </w:r>
    </w:p>
    <w:p>
      <w:pPr>
        <w:pStyle w:val="FirstParagraph"/>
      </w:pPr>
      <w:r>
        <w:t xml:space="preserve">Bogotá, Colombia's capital with over 7.5 million residents, faces critical ophthalmic care challenges including high rates of diabetic retinopathy (18% prevalence), cataracts (affecting 35% of adults over 60), and rising myopia among youth. The Colombian National Health Ministry reports a deficit of 22 ophthalmologists per million citizens—far below the WHO recommendation. This creates an urgent need for specialized</w:t>
      </w:r>
      <w:r>
        <w:t xml:space="preserve"> </w:t>
      </w:r>
      <w:r>
        <w:rPr>
          <w:bCs/>
          <w:b/>
        </w:rPr>
        <w:t xml:space="preserve">Ophthalmologist</w:t>
      </w:r>
      <w:r>
        <w:t xml:space="preserve"> </w:t>
      </w:r>
      <w:r>
        <w:t xml:space="preserve">services, positioning our practice to address this critical gap in Colombia Bogotá's healthcare ecosystem.</w:t>
      </w:r>
    </w:p>
    <w:bookmarkEnd w:id="21"/>
    <w:bookmarkStart w:id="22" w:name="X2653a84eb98e77e913c365793780b389df6694a"/>
    <w:p>
      <w:pPr>
        <w:pStyle w:val="Heading2"/>
      </w:pPr>
      <w:r>
        <w:t xml:space="preserve">Key Performance Indicators (Q3 2023 vs Q3 2022)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Patient Visits (New &amp; Existing)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4,875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4,160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+17.2%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Surgical Procedures (Cataract/Laser)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+19.3%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Revenue (USD)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$648,500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$565,300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+14.7%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Private Insurance Collections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$412,200 (63.6%)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$358,700 (63.5%)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+14.9%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Public Health Program Revenue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$182,500 (28.1%)*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$137,800 (24.4%)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+32.5%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Net Patient Satisfaction Score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94.3%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92.1%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+2.2 pts</w:t>
            </w:r>
          </w:p>
        </w:tc>
      </w:tr>
    </w:tbl>
    <w:p>
      <w:pPr>
        <w:pStyle w:val="BodyText"/>
      </w:pPr>
      <w:r>
        <w:rPr>
          <w:iCs/>
          <w:i/>
        </w:rPr>
        <w:t xml:space="preserve">*Includes Colombian Ministry of Health program (SISBEN 1-3) and municipal initiatives</w:t>
      </w:r>
    </w:p>
    <w:bookmarkEnd w:id="22"/>
    <w:bookmarkStart w:id="26" w:name="X5398d8ea83f3d1338e518d1492e9c6d0b60ef6e"/>
    <w:p>
      <w:pPr>
        <w:pStyle w:val="Heading2"/>
      </w:pPr>
      <w:r>
        <w:t xml:space="preserve">Revenue Stream Analysis: Strategic Growth Drivers in Colombia Bogotá</w:t>
      </w:r>
    </w:p>
    <w:bookmarkStart w:id="23" w:name="private-insurance-partnership-expansion"/>
    <w:p>
      <w:pPr>
        <w:pStyle w:val="Heading3"/>
      </w:pPr>
      <w:r>
        <w:t xml:space="preserve">Private Insurance Partnership Expansion</w:t>
      </w:r>
    </w:p>
    <w:p>
      <w:pPr>
        <w:pStyle w:val="FirstParagraph"/>
      </w:pPr>
      <w:r>
        <w:t xml:space="preserve">We secured two major insurance partnerships in Bogotá during Q3, covering 1.8 million new policyholders through Aetna and Sura. This directly contributed to the 14.9% revenue growth in private segment. The Sales Report confirms these partnerships generated $78,400 in incremental revenue within 60 days of implementation—validating our market entry strategy for Colombia Bogotá.</w:t>
      </w:r>
    </w:p>
    <w:bookmarkEnd w:id="23"/>
    <w:bookmarkStart w:id="24" w:name="public-health-program-dominance"/>
    <w:p>
      <w:pPr>
        <w:pStyle w:val="Heading3"/>
      </w:pPr>
      <w:r>
        <w:t xml:space="preserve">Public Health Program Dominance</w:t>
      </w:r>
    </w:p>
    <w:p>
      <w:pPr>
        <w:pStyle w:val="FirstParagraph"/>
      </w:pPr>
      <w:r>
        <w:t xml:space="preserve">Awarded as a primary provider for the "Vision for All" initiative (Colombia's national eye care program), we processed 217 public patients through municipal clinics in Chapinero and Kennedy districts. This 32.5% revenue jump from public programs represents our largest growth area, demonstrating how strategic government collaborations drive sustainable growth for any</w:t>
      </w:r>
      <w:r>
        <w:t xml:space="preserve"> </w:t>
      </w:r>
      <w:r>
        <w:rPr>
          <w:bCs/>
          <w:b/>
        </w:rPr>
        <w:t xml:space="preserve">Ophthalmologist</w:t>
      </w:r>
      <w:r>
        <w:t xml:space="preserve"> </w:t>
      </w:r>
      <w:r>
        <w:t xml:space="preserve">practice in Colombia Bogotá.</w:t>
      </w:r>
    </w:p>
    <w:bookmarkEnd w:id="24"/>
    <w:bookmarkStart w:id="25" w:name="specialized-diagnostic-services-surge"/>
    <w:p>
      <w:pPr>
        <w:pStyle w:val="Heading3"/>
      </w:pPr>
      <w:r>
        <w:t xml:space="preserve">Specialized Diagnostic Services Surge</w:t>
      </w:r>
    </w:p>
    <w:p>
      <w:pPr>
        <w:pStyle w:val="FirstParagraph"/>
      </w:pPr>
      <w:r>
        <w:t xml:space="preserve">The introduction of OCT (Optical Coherence Tomography) and retinal imaging services generated $87,200 in new revenue. 68% of patients booked through our digital platform were referred for advanced diagnostics—a first-in-Bogotá offering that differentiates our practice as the leading</w:t>
      </w:r>
      <w:r>
        <w:t xml:space="preserve"> </w:t>
      </w:r>
      <w:r>
        <w:rPr>
          <w:bCs/>
          <w:b/>
        </w:rPr>
        <w:t xml:space="preserve">Ophthalmologist</w:t>
      </w:r>
      <w:r>
        <w:t xml:space="preserve"> </w:t>
      </w:r>
      <w:r>
        <w:t xml:space="preserve">destination in Colombia.</w:t>
      </w:r>
    </w:p>
    <w:bookmarkEnd w:id="25"/>
    <w:bookmarkEnd w:id="26"/>
    <w:bookmarkStart w:id="27" w:name="Xda14fe43daeca6d612295574f0f4ffb167fda0f"/>
    <w:p>
      <w:pPr>
        <w:pStyle w:val="Heading2"/>
      </w:pPr>
      <w:r>
        <w:t xml:space="preserve">Market Positioning: Why Our Bogotá Ophthalmology Practice Leads</w:t>
      </w:r>
    </w:p>
    <w:p>
      <w:pPr>
        <w:pStyle w:val="FirstParagraph"/>
      </w:pPr>
      <w:r>
        <w:t xml:space="preserve">In Colombia Bogotá's competitive landscape, we maintain 37% market share among specialty eye care providers. This dominance stems from three pillars: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All staff speak Spanish with native fluency and understand local health beliefs—critical for patient retention in Colombia Bogotá.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 Adoption:</w:t>
      </w:r>
      <w:r>
        <w:t xml:space="preserve"> </w:t>
      </w:r>
      <w:r>
        <w:t xml:space="preserve">Our AI-driven diabetic retinopathy screening (validated by Universidad de los Andes) reduced diagnosis time by 40% versus city averages.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Integration:</w:t>
      </w:r>
      <w:r>
        <w:t xml:space="preserve"> </w:t>
      </w:r>
      <w:r>
        <w:t xml:space="preserve">Free vision screenings at 12 public schools in the last quarter reached 3,200 students—directly supporting Colombia's national eye health goals.</w:t>
      </w:r>
    </w:p>
    <w:bookmarkEnd w:id="27"/>
    <w:bookmarkStart w:id="28" w:name="X81dcc0bb695ae736353c409154762d2714c66a7"/>
    <w:p>
      <w:pPr>
        <w:pStyle w:val="Heading2"/>
      </w:pPr>
      <w:r>
        <w:t xml:space="preserve">Challenges &amp; Strategic Solutions Implemented</w:t>
      </w:r>
    </w:p>
    <w:p>
      <w:pPr>
        <w:pStyle w:val="FirstParagraph"/>
      </w:pPr>
      <w:r>
        <w:rPr>
          <w:bCs/>
          <w:b/>
        </w:rPr>
        <w:t xml:space="preserve">Challenge: Rising Costs of Medical Supplies (18% YoY)</w:t>
      </w:r>
      <w:r>
        <w:br/>
      </w:r>
      <w:r>
        <w:t xml:space="preserve">We negotiated bulk contracts with Medtronic and Carl Zeiss for Colombia Bogotá operations, securing 12.3% cost savings on consumables while maintaining FDA-certified quality.</w:t>
      </w:r>
    </w:p>
    <w:p>
      <w:pPr>
        <w:pStyle w:val="BodyText"/>
      </w:pPr>
      <w:r>
        <w:rPr>
          <w:bCs/>
          <w:b/>
        </w:rPr>
        <w:t xml:space="preserve">Challenge: Patient No-Shows (21% in Q2)</w:t>
      </w:r>
      <w:r>
        <w:br/>
      </w:r>
      <w:r>
        <w:t xml:space="preserve">Launched "EyeCare Alert" SMS system integrated with our clinic management software. Result: 98% of patients now receive reminders, reducing no-shows to 8.7%—a 58% improvement directly impacting the Sales Report's bottom line.</w:t>
      </w:r>
    </w:p>
    <w:bookmarkEnd w:id="28"/>
    <w:bookmarkStart w:id="29" w:name="Xc8162ae8bff2457c4d48797969f85ef0e451e11"/>
    <w:p>
      <w:pPr>
        <w:pStyle w:val="Heading2"/>
      </w:pPr>
      <w:r>
        <w:t xml:space="preserve">Strategic Initiatives Driving Future Growth in Colombia Bogotá</w:t>
      </w:r>
    </w:p>
    <w:p>
      <w:pPr>
        <w:pStyle w:val="FirstParagraph"/>
      </w:pPr>
      <w:r>
        <w:t xml:space="preserve">Based on this successful Q3 performance, we are implementing three initiatives for Q4 2023: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New Tele-Ophthalmology Service:</w:t>
      </w:r>
      <w:r>
        <w:t xml:space="preserve"> </w:t>
      </w:r>
      <w:r>
        <w:t xml:space="preserve">Partnering with Medellín-based health tech startup to provide remote consultations for rural patients in Colombia Bogotá's satellite cities (e.g., Soacha, Facatativá).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Corporate Wellness Partnerships:</w:t>
      </w:r>
      <w:r>
        <w:t xml:space="preserve"> </w:t>
      </w:r>
      <w:r>
        <w:t xml:space="preserve">Securing contracts with 15 major Bogotá employers (including Bancolombia and Avianca) for employee eye health programs—projected $120,000 quarterly revenue.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Laser Vision Correction Expansion:</w:t>
      </w:r>
      <w:r>
        <w:t xml:space="preserve"> </w:t>
      </w:r>
      <w:r>
        <w:t xml:space="preserve">Adding 3 new Excimer laser machines to handle the 28% annual demand increase for LASIK procedures in Colombia Bogotá's middle-class segment.</w:t>
      </w:r>
    </w:p>
    <w:bookmarkEnd w:id="29"/>
    <w:bookmarkStart w:id="31" w:name="X3e8cdc2c66320567d25ce412511c4f16fc906c2"/>
    <w:p>
      <w:pPr>
        <w:pStyle w:val="Heading2"/>
      </w:pPr>
      <w:r>
        <w:t xml:space="preserve">Conclusion: The Path Forward as Colombia Bogotá's Premier Ophthalmologist Practice</w:t>
      </w:r>
    </w:p>
    <w:p>
      <w:pPr>
        <w:pStyle w:val="FirstParagraph"/>
      </w:pPr>
      <w:r>
        <w:t xml:space="preserve">This Sales Report underscores that our ophthalmology practice in Colombia Bogotá is not merely meeting but exceeding the region's critical eye care needs. The 14.7% revenue growth, coupled with 94.3% patient satisfaction, validates our strategic focus on community health integration and technological excellence. As Colombia's urban population grows by 180,000 residents annually in Bogotá alone, we project 22-25% year-over-year growth for the next three years.</w:t>
      </w:r>
    </w:p>
    <w:p>
      <w:pPr>
        <w:pStyle w:val="BodyText"/>
      </w:pPr>
      <w:r>
        <w:t xml:space="preserve">For the</w:t>
      </w:r>
      <w:r>
        <w:t xml:space="preserve"> </w:t>
      </w:r>
      <w:r>
        <w:rPr>
          <w:bCs/>
          <w:b/>
        </w:rPr>
        <w:t xml:space="preserve">Ophthalmologist</w:t>
      </w:r>
      <w:r>
        <w:t xml:space="preserve"> </w:t>
      </w:r>
      <w:r>
        <w:t xml:space="preserve">practice in Colombia Bogotá to sustain this trajectory, continued investment in digital health infrastructure and public-private partnerships remains essential. We recommend allocating 15% of Q4 revenue toward expanding our telemedicine platform—a move that will position us as the undisputed leader for eye care across Colombia Bogotá and beyond.</w:t>
      </w:r>
    </w:p>
    <w:bookmarkStart w:id="30" w:name="prepared-by"/>
    <w:p>
      <w:pPr>
        <w:pStyle w:val="Heading3"/>
      </w:pPr>
      <w:r>
        <w:t xml:space="preserve">Prepared By:</w:t>
      </w:r>
    </w:p>
    <w:p>
      <w:pPr>
        <w:pStyle w:val="FirstParagraph"/>
      </w:pPr>
      <w:r>
        <w:t xml:space="preserve">Carlos Mendoza, Director of Clinical Operations</w:t>
      </w:r>
      <w:r>
        <w:br/>
      </w:r>
      <w:r>
        <w:t xml:space="preserve">EyeCare Specialists Bogotá</w:t>
      </w:r>
      <w:r>
        <w:br/>
      </w:r>
      <w:r>
        <w:t xml:space="preserve">Calle 100 # 85-25, Bogotá, Colombia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Sales Report - Colombia Bogotá</dc:title>
  <dc:creator/>
  <dc:language>en</dc:language>
  <cp:keywords/>
  <dcterms:created xsi:type="dcterms:W3CDTF">2026-07-23T22:10:15Z</dcterms:created>
  <dcterms:modified xsi:type="dcterms:W3CDTF">2026-07-23T22:10:15Z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