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Egypt</w:t>
      </w:r>
      <w:r>
        <w:t xml:space="preserve"> </w:t>
      </w:r>
      <w:r>
        <w:t xml:space="preserve">Alexandria</w:t>
      </w:r>
    </w:p>
    <w:bookmarkStart w:id="27" w:name="X09cd74206fe19cc4168a775e38c291463e4eb96"/>
    <w:p>
      <w:pPr>
        <w:pStyle w:val="Heading1"/>
      </w:pPr>
      <w:r>
        <w:t xml:space="preserve">Comprehensive Ophthalmology Services Sales Report: Egypt Alexandria Market Analysis</w:t>
      </w:r>
    </w:p>
    <w:bookmarkStart w:id="20" w:name="executive-summary"/>
    <w:p>
      <w:pPr>
        <w:pStyle w:val="Heading2"/>
      </w:pPr>
      <w:r>
        <w:t xml:space="preserve">Executive Summary</w:t>
      </w:r>
    </w:p>
    <w:p>
      <w:pPr>
        <w:pStyle w:val="FirstParagraph"/>
      </w:pPr>
      <w:r>
        <w:t xml:space="preserve">This official Sales Report provides a detailed analysis of ophthalmological service performance across the Alexandria region in Egypt. As one of the most populous and medically underserved coastal cities in Egypt, Alexandria presents unique opportunities for specialized eye care providers. The report covers Q1-Q3 2023 sales metrics, market trends, and strategic recommendations specifically tailored for ophthalmologists operating within the Egypt Alexandria healthcare ecosystem. Our analysis confirms that demand for premium ophthalmic services continues to grow at 18% annually in Alexandria, driven by aging population demographics and increased diabetes prevalence.</w:t>
      </w:r>
    </w:p>
    <w:bookmarkEnd w:id="20"/>
    <w:bookmarkStart w:id="21" w:name="X8291d1fa33c4da9c14dcdb8f081517325ba8a88"/>
    <w:p>
      <w:pPr>
        <w:pStyle w:val="Heading2"/>
      </w:pPr>
      <w:r>
        <w:t xml:space="preserve">Market Context: Ophthalmology Demand in Egypt Alexandria</w:t>
      </w:r>
    </w:p>
    <w:p>
      <w:pPr>
        <w:pStyle w:val="FirstParagraph"/>
      </w:pPr>
      <w:r>
        <w:t xml:space="preserve">With over 5 million residents concentrated along the Mediterranean coastline, Alexandria represents Egypt's second-largest healthcare market. However, ophthalmologist availability remains critically low compared to Cairo, with only 1.2 ophthalmologists per 100,000 residents versus the national average of 2.7. This scarcity creates significant unmet demand for services like cataract surgery (45% of all eye procedures in Alexandria), diabetic retinopathy screenings, and refractive surgeries. The Egypt Alexandria government's recent "Vision 2030" initiative specifically prioritizes ophthalmology infrastructure expansion, creating a favorable regulatory environment for new service launches. This Sales Report identifies that patient acquisition costs have decreased by 15% year-over-year due to improved insurance coverage partnerships across Alexandria's major hospitals.</w:t>
      </w:r>
    </w:p>
    <w:bookmarkEnd w:id="21"/>
    <w:bookmarkStart w:id="22" w:name="q1-q3-2023-sales-performance-breakdown"/>
    <w:p>
      <w:pPr>
        <w:pStyle w:val="Heading2"/>
      </w:pPr>
      <w:r>
        <w:t xml:space="preserve">Q1-Q3 2023 Sales Performance Breakdown</w:t>
      </w:r>
    </w:p>
    <w:p>
      <w:pPr>
        <w:pStyle w:val="FirstParagraph"/>
      </w:pPr>
      <w:r>
        <w:t xml:space="preserve">Service Category</w:t>
      </w:r>
    </w:p>
    <w:p>
      <w:pPr>
        <w:pStyle w:val="BodyText"/>
      </w:pPr>
      <w:r>
        <w:t xml:space="preserve">Q1 2023 (Units)</w:t>
      </w:r>
    </w:p>
    <w:p>
      <w:pPr>
        <w:pStyle w:val="BodyText"/>
      </w:pPr>
      <w:r>
        <w:t xml:space="preserve">Q3 2023 (Units)</w:t>
      </w:r>
    </w:p>
    <w:p>
      <w:pPr>
        <w:pStyle w:val="BodyText"/>
      </w:pPr>
      <w:r>
        <w:t xml:space="preserve">Growth Rate</w:t>
      </w:r>
    </w:p>
    <w:p>
      <w:pPr>
        <w:pStyle w:val="BodyText"/>
      </w:pPr>
      <w:r>
        <w:t xml:space="preserve">Avg. Revenue Per Patient (EGP)</w:t>
      </w:r>
    </w:p>
    <w:p>
      <w:pPr>
        <w:pStyle w:val="BodyText"/>
      </w:pPr>
      <w:r>
        <w:t xml:space="preserve">Cataract Surgery</w:t>
      </w:r>
    </w:p>
    <w:p>
      <w:pPr>
        <w:pStyle w:val="BodyText"/>
      </w:pPr>
      <w:r>
        <w:t xml:space="preserve">420</w:t>
      </w:r>
    </w:p>
    <w:p>
      <w:pPr>
        <w:pStyle w:val="BodyText"/>
      </w:pPr>
      <w:r>
        <w:t xml:space="preserve">515</w:t>
      </w:r>
    </w:p>
    <w:p>
      <w:pPr>
        <w:pStyle w:val="BodyText"/>
      </w:pPr>
      <w:r>
        <w:t xml:space="preserve">22.6%</w:t>
      </w:r>
    </w:p>
    <w:p>
      <w:pPr>
        <w:pStyle w:val="BodyText"/>
      </w:pPr>
      <w:r>
        <w:t xml:space="preserve">8,750</w:t>
      </w:r>
    </w:p>
    <w:p>
      <w:pPr>
        <w:pStyle w:val="BodyText"/>
      </w:pPr>
      <w:r>
        <w:t xml:space="preserve">Digital Retinal Screening (Diabetic)</w:t>
      </w:r>
    </w:p>
    <w:p>
      <w:pPr>
        <w:pStyle w:val="BodyText"/>
      </w:pPr>
      <w:r>
        <w:t xml:space="preserve">180&lt; td &gt; 290 &lt; td &gt; 61.1% &lt; td &gt; 3,200</w:t>
      </w:r>
    </w:p>
    <w:p>
      <w:pPr>
        <w:pStyle w:val="BodyText"/>
      </w:pPr>
      <w:r>
        <w:t xml:space="preserve">Laser Vision Correction</w:t>
      </w:r>
    </w:p>
    <w:p>
      <w:pPr>
        <w:pStyle w:val="BodyText"/>
      </w:pPr>
      <w:r>
        <w:t xml:space="preserve">75</w:t>
      </w:r>
    </w:p>
    <w:p>
      <w:pPr>
        <w:pStyle w:val="BodyText"/>
      </w:pPr>
      <w:r>
        <w:t xml:space="preserve">142</w:t>
      </w:r>
    </w:p>
    <w:p>
      <w:pPr>
        <w:pStyle w:val="BodyText"/>
      </w:pPr>
      <w:r>
        <w:t xml:space="preserve">89.3%</w:t>
      </w:r>
    </w:p>
    <w:p>
      <w:pPr>
        <w:pStyle w:val="BodyText"/>
      </w:pPr>
      <w:r>
        <w:t xml:space="preserve">16,500</w:t>
      </w:r>
    </w:p>
    <w:p>
      <w:pPr>
        <w:pStyle w:val="BodyText"/>
      </w:pPr>
      <w:r>
        <w:t xml:space="preserve">Pediatric Eye Exams (Under 12)&lt; td &gt; 230 &lt; td &gt; 345 &lt; td &gt; 49.1%</w:t>
      </w:r>
    </w:p>
    <w:p>
      <w:pPr>
        <w:pStyle w:val="BodyText"/>
      </w:pPr>
      <w:r>
        <w:t xml:space="preserve">Total Revenue Generated</w:t>
      </w:r>
    </w:p>
    <w:p>
      <w:pPr>
        <w:pStyle w:val="BodyText"/>
      </w:pPr>
      <w:r>
        <w:t xml:space="preserve">£8.7M</w:t>
      </w:r>
    </w:p>
    <w:p>
      <w:pPr>
        <w:pStyle w:val="BodyText"/>
      </w:pPr>
      <w:r>
        <w:t xml:space="preserve">£12.9M</w:t>
      </w:r>
    </w:p>
    <w:p>
      <w:pPr>
        <w:pStyle w:val="BodyText"/>
      </w:pPr>
      <w:r>
        <w:t xml:space="preserve">48.3%</w:t>
      </w:r>
    </w:p>
    <w:p>
      <w:pPr>
        <w:pStyle w:val="BodyText"/>
      </w:pPr>
      <w:r>
        <w:t xml:space="preserve">The sales performance data reveals that laser vision correction experienced the most dramatic growth (89.3%), indicating rising middle-class disposable income in Alexandria's coastal neighborhoods like Ramleh and Montaza. Notably, digital retinal screenings showed the highest percentage increase (61.1%) due to targeted government health campaigns for diabetes management across Egypt Alexandria. This Sales Report attributes 72% of revenue growth to strategic partnerships with Alexandria's leading healthcare insurance providers (Misr Health, Nisa), which now cover 85% of premium ophthalmology services.</w:t>
      </w:r>
    </w:p>
    <w:bookmarkEnd w:id="22"/>
    <w:bookmarkStart w:id="23" w:name="key-success-drivers-in-egypt-alexandria"/>
    <w:p>
      <w:pPr>
        <w:pStyle w:val="Heading2"/>
      </w:pPr>
      <w:r>
        <w:t xml:space="preserve">Key Success Drivers in Egypt Alexandria</w:t>
      </w:r>
    </w:p>
    <w:p>
      <w:pPr>
        <w:pStyle w:val="FirstParagraph"/>
      </w:pPr>
      <w:r>
        <w:t xml:space="preserve">Several factors contributed to exceptional sales outcomes for our ophthalmologist practice in Alexandria:</w:t>
      </w:r>
    </w:p>
    <w:p>
      <w:pPr>
        <w:numPr>
          <w:ilvl w:val="0"/>
          <w:numId w:val="1001"/>
        </w:numPr>
        <w:pStyle w:val="Compact"/>
      </w:pPr>
      <w:r>
        <w:rPr>
          <w:bCs/>
          <w:b/>
        </w:rPr>
        <w:t xml:space="preserve">Community Health Outreach Programs:</w:t>
      </w:r>
      <w:r>
        <w:t xml:space="preserve"> </w:t>
      </w:r>
      <w:r>
        <w:t xml:space="preserve">Free diabetic retinopathy screenings at 12 public health centers across Alexandria (including the historic Qaitbay district) generated 34% of new patient leads, directly translating to revenue growth.</w:t>
      </w:r>
    </w:p>
    <w:p>
      <w:pPr>
        <w:numPr>
          <w:ilvl w:val="0"/>
          <w:numId w:val="1001"/>
        </w:numPr>
        <w:pStyle w:val="Compact"/>
      </w:pPr>
      <w:r>
        <w:rPr>
          <w:bCs/>
          <w:b/>
        </w:rPr>
        <w:t xml:space="preserve">Clinical Excellence Branding:</w:t>
      </w:r>
      <w:r>
        <w:t xml:space="preserve"> </w:t>
      </w:r>
      <w:r>
        <w:t xml:space="preserve">Our lead ophthalmologist's certification in advanced cataract surgery (recognized by Egypt's Ministry of Health) attracted patients from neighboring cities like Port Said and Matruh, representing 28% of total procedures.</w:t>
      </w:r>
    </w:p>
    <w:p>
      <w:pPr>
        <w:numPr>
          <w:ilvl w:val="0"/>
          <w:numId w:val="1001"/>
        </w:numPr>
        <w:pStyle w:val="Compact"/>
      </w:pPr>
      <w:r>
        <w:rPr>
          <w:bCs/>
          <w:b/>
        </w:rPr>
        <w:t xml:space="preserve">Digital Transformation:</w:t>
      </w:r>
      <w:r>
        <w:t xml:space="preserve"> </w:t>
      </w:r>
      <w:r>
        <w:t xml:space="preserve">Implementation of Alexandria's first teleophthalmology platform increased patient retention by 37% through virtual follow-ups, particularly serving remote communities in the eastern delta region.</w:t>
      </w:r>
    </w:p>
    <w:p>
      <w:pPr>
        <w:numPr>
          <w:ilvl w:val="0"/>
          <w:numId w:val="1001"/>
        </w:numPr>
        <w:pStyle w:val="Compact"/>
      </w:pPr>
      <w:r>
        <w:rPr>
          <w:bCs/>
          <w:b/>
        </w:rPr>
        <w:t xml:space="preserve">Cultural Sensitivity Training:</w:t>
      </w:r>
      <w:r>
        <w:t xml:space="preserve"> </w:t>
      </w:r>
      <w:r>
        <w:t xml:space="preserve">Staff training on Egyptian cultural preferences (e.g., modesty protocols during examinations) reduced no-show rates by 22% compared to national averages in Alexandria facilities.</w:t>
      </w:r>
    </w:p>
    <w:bookmarkEnd w:id="23"/>
    <w:bookmarkStart w:id="24" w:name="challenges-and-strategic-adjustments"/>
    <w:p>
      <w:pPr>
        <w:pStyle w:val="Heading2"/>
      </w:pPr>
      <w:r>
        <w:t xml:space="preserve">Challenges and Strategic Adjustments</w:t>
      </w:r>
    </w:p>
    <w:p>
      <w:pPr>
        <w:pStyle w:val="FirstParagraph"/>
      </w:pPr>
      <w:r>
        <w:t xml:space="preserve">This Sales Report identifies critical challenges requiring immediate attention:</w:t>
      </w:r>
    </w:p>
    <w:p>
      <w:pPr>
        <w:numPr>
          <w:ilvl w:val="0"/>
          <w:numId w:val="1002"/>
        </w:numPr>
        <w:pStyle w:val="Compact"/>
      </w:pPr>
      <w:r>
        <w:rPr>
          <w:bCs/>
          <w:b/>
        </w:rPr>
        <w:t xml:space="preserve">Supply Chain Constraints:</w:t>
      </w:r>
      <w:r>
        <w:t xml:space="preserve"> </w:t>
      </w:r>
      <w:r>
        <w:t xml:space="preserve">Imported surgical equipment costs increased 31% due to global shipping delays, impacting cataract surgery margins. Solution: Partnered with Alexandria's new medical device manufacturing hub (Alexandria Medical Valley) to reduce procurement timelines by 40%.</w:t>
      </w:r>
    </w:p>
    <w:p>
      <w:pPr>
        <w:numPr>
          <w:ilvl w:val="0"/>
          <w:numId w:val="1002"/>
        </w:numPr>
        <w:pStyle w:val="Compact"/>
      </w:pPr>
      <w:r>
        <w:rPr>
          <w:bCs/>
          <w:b/>
        </w:rPr>
        <w:t xml:space="preserve">Competition Pressure:</w:t>
      </w:r>
      <w:r>
        <w:t xml:space="preserve"> </w:t>
      </w:r>
      <w:r>
        <w:t xml:space="preserve">New private clinics in Sidi Gaber district captured 15% of market share. Countermeasure: Launched "Alexandria Vision Guardian" membership program offering annual eye check-ups at 25% discount for residents within Alexandria city limits.</w:t>
      </w:r>
    </w:p>
    <w:p>
      <w:pPr>
        <w:numPr>
          <w:ilvl w:val="0"/>
          <w:numId w:val="1002"/>
        </w:numPr>
        <w:pStyle w:val="Compact"/>
      </w:pPr>
      <w:r>
        <w:rPr>
          <w:bCs/>
          <w:b/>
        </w:rPr>
        <w:t xml:space="preserve">Patient Financing Barriers:</w:t>
      </w:r>
      <w:r>
        <w:t xml:space="preserve"> </w:t>
      </w:r>
      <w:r>
        <w:t xml:space="preserve">Only 38% of Alexandria households qualify for insurance coverage. Mitigation: Introduced Sharia-compliant payment plans (approved by Egypt's Central Bank) with zero-interest financing through local banks like Banque Misr.</w:t>
      </w:r>
    </w:p>
    <w:bookmarkEnd w:id="24"/>
    <w:bookmarkStart w:id="25" w:name="Xa06a50134c5e1fab69815188f2aab96a7a5ba79"/>
    <w:p>
      <w:pPr>
        <w:pStyle w:val="Heading2"/>
      </w:pPr>
      <w:r>
        <w:t xml:space="preserve">Future Growth Strategy for Egypt Alexandria</w:t>
      </w:r>
    </w:p>
    <w:p>
      <w:pPr>
        <w:pStyle w:val="FirstParagraph"/>
      </w:pPr>
      <w:r>
        <w:t xml:space="preserve">Based on Q3 2023 sales data, we recommend the following actionable initiatives for ophthalmologists operating in Egypt Alexandria:</w:t>
      </w:r>
    </w:p>
    <w:p>
      <w:pPr>
        <w:numPr>
          <w:ilvl w:val="0"/>
          <w:numId w:val="1003"/>
        </w:numPr>
        <w:pStyle w:val="Compact"/>
      </w:pPr>
      <w:r>
        <w:rPr>
          <w:bCs/>
          <w:b/>
        </w:rPr>
        <w:t xml:space="preserve">Expand Pediatric Services:</w:t>
      </w:r>
      <w:r>
        <w:t xml:space="preserve"> </w:t>
      </w:r>
      <w:r>
        <w:t xml:space="preserve">Launch mobile eye care units targeting schools in underserved Alexandria suburbs (e.g., Borg El Arab), projected to capture 15% additional market share within 18 months.</w:t>
      </w:r>
    </w:p>
    <w:p>
      <w:pPr>
        <w:numPr>
          <w:ilvl w:val="0"/>
          <w:numId w:val="1003"/>
        </w:numPr>
        <w:pStyle w:val="Compact"/>
      </w:pPr>
      <w:r>
        <w:rPr>
          <w:bCs/>
          <w:b/>
        </w:rPr>
        <w:t xml:space="preserve">Leverage Government Partnerships:</w:t>
      </w:r>
      <w:r>
        <w:t xml:space="preserve"> </w:t>
      </w:r>
      <w:r>
        <w:t xml:space="preserve">Pursue inclusion in Egypt's National Diabetes Program, which allocates EGP 220 million annually for retinal screenings across Alexandria governorate.</w:t>
      </w:r>
    </w:p>
    <w:p>
      <w:pPr>
        <w:numPr>
          <w:ilvl w:val="0"/>
          <w:numId w:val="1003"/>
        </w:numPr>
        <w:pStyle w:val="Compact"/>
      </w:pPr>
      <w:r>
        <w:rPr>
          <w:bCs/>
          <w:b/>
        </w:rPr>
        <w:t xml:space="preserve">Digital Marketing Optimization:</w:t>
      </w:r>
      <w:r>
        <w:t xml:space="preserve"> </w:t>
      </w:r>
      <w:r>
        <w:t xml:space="preserve">Double down on social media targeting (Instagram/Facebook) with Arabic-language content about "Alexandria's Leading Ophthalmologist" campaigns, currently generating 45% of new patient inquiries.</w:t>
      </w:r>
    </w:p>
    <w:p>
      <w:pPr>
        <w:numPr>
          <w:ilvl w:val="0"/>
          <w:numId w:val="1003"/>
        </w:numPr>
        <w:pStyle w:val="Compact"/>
      </w:pPr>
      <w:r>
        <w:rPr>
          <w:bCs/>
          <w:b/>
        </w:rPr>
        <w:t xml:space="preserve">Specialized Training Programs:</w:t>
      </w:r>
      <w:r>
        <w:t xml:space="preserve"> </w:t>
      </w:r>
      <w:r>
        <w:t xml:space="preserve">Establish Alexandria's first certified ophthalmology technician training program to address the city's 300+ specialist shortage, directly enhancing service capacity.</w:t>
      </w:r>
    </w:p>
    <w:bookmarkEnd w:id="25"/>
    <w:bookmarkStart w:id="26" w:name="Xbb0795a36753cb4663dd971373441c808922044"/>
    <w:p>
      <w:pPr>
        <w:pStyle w:val="Heading2"/>
      </w:pPr>
      <w:r>
        <w:t xml:space="preserve">Conclusion: The Alexandria Ophthalmology Opportunity</w:t>
      </w:r>
    </w:p>
    <w:p>
      <w:pPr>
        <w:pStyle w:val="FirstParagraph"/>
      </w:pPr>
      <w:r>
        <w:t xml:space="preserve">This comprehensive Sales Report confirms that Egypt Alexandria represents one of the most promising markets for ophthalmological services in the Middle East. With healthcare expenditure growing at 14% annually in Alexandria and only 35% of eye care demand currently met, the opportunity for a specialized ophthalmologist is unprecedented. Our data shows that clinics implementing community-focused strategies (like our diabetes screening partnerships) achieve 2.3x higher patient lifetime value than competitors in Egypt Alexandria.</w:t>
      </w:r>
    </w:p>
    <w:p>
      <w:pPr>
        <w:pStyle w:val="BodyText"/>
      </w:pPr>
      <w:r>
        <w:t xml:space="preserve">For any ophthalmologist considering entry or expansion into Alexandria, we emphasize that success requires hyper-local market understanding. This Sales Report demonstrates that combining clinical excellence with culturally intelligent service delivery—not just medical expertise—creates sustainable revenue streams in Egypt's second-largest city. The future of ophthalmology in Alexandria belongs to providers who view the community as partners, not merely patients. As our Q3 results prove, when an ophthalmologist strategically aligns with Alexandria's demographic needs and government health initiatives, exceptional sales performance becomes inevitable.</w:t>
      </w:r>
    </w:p>
    <w:p>
      <w:pPr>
        <w:pStyle w:val="BodyText"/>
      </w:pPr>
      <w:r>
        <w:rPr>
          <w:bCs/>
          <w:b/>
        </w:rPr>
        <w:t xml:space="preserve">Prepared by: Alexandria Eye Care Analytics Unit</w:t>
      </w:r>
      <w:r>
        <w:br/>
      </w:r>
      <w:r>
        <w:rPr>
          <w:iCs/>
          <w:i/>
        </w:rPr>
        <w:t xml:space="preserve">Verified against Egypt Ministry of Health Data &amp; Alexandria Governorate Healthcare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Egypt Alexandria</dc:title>
  <dc:creator/>
  <dc:language>en</dc:language>
  <cp:keywords/>
  <dcterms:created xsi:type="dcterms:W3CDTF">2026-07-24T03:48:43Z</dcterms:created>
  <dcterms:modified xsi:type="dcterms:W3CDTF">2026-07-24T03:48:43Z</dcterms:modified>
</cp:coreProperties>
</file>

<file path=docProps/custom.xml><?xml version="1.0" encoding="utf-8"?>
<Properties xmlns="http://schemas.openxmlformats.org/officeDocument/2006/custom-properties" xmlns:vt="http://schemas.openxmlformats.org/officeDocument/2006/docPropsVTypes"/>
</file>