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8" w:name="X5825d17dad9639a829c0270a180eccd897bf60c"/>
    <w:p>
      <w:pPr>
        <w:pStyle w:val="Heading1"/>
      </w:pPr>
      <w:r>
        <w:t xml:space="preserve">Comprehensive Ophthalmology Sales Performance Report: Addis Ababa, Ethiopia</w:t>
      </w:r>
    </w:p>
    <w:p>
      <w:pPr>
        <w:pStyle w:val="FirstParagraph"/>
      </w:pPr>
      <w:r>
        <w:rPr>
          <w:bCs/>
          <w:b/>
        </w:rPr>
        <w:t xml:space="preserve">Prepared For:</w:t>
      </w:r>
      <w:r>
        <w:t xml:space="preserve"> </w:t>
      </w:r>
      <w:r>
        <w:t xml:space="preserve">Management, Ethiopian Ministry of Health &amp; International Partners</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ophthalmological services at Addis Eye Care Center in Ethiopia Addis Ababa for Q3 2023. The report demonstrates a 18.7% year-over-year increase in patient volume and a 24% growth in revenue, driven by expanded community outreach and strategic partnerships. As Ethiopia Addis Ababa's leading private ophthalmology practice, our clinic has become pivotal in addressing the nation's eye health crisis, serving over 12,500 patients this quarter alone. This document provides critical insights for stakeholders invested in advancing ophthalmological care across Ethiopia Addis Ababa.</w:t>
      </w:r>
    </w:p>
    <w:bookmarkEnd w:id="20"/>
    <w:bookmarkStart w:id="21" w:name="X254f5b870955bc14e82d6799761e7e772ae671a"/>
    <w:p>
      <w:pPr>
        <w:pStyle w:val="Heading2"/>
      </w:pPr>
      <w:r>
        <w:t xml:space="preserve">II. Market Context: Ophthalmology Landscape in Ethiopia Addis Ababa</w:t>
      </w:r>
    </w:p>
    <w:p>
      <w:pPr>
        <w:pStyle w:val="FirstParagraph"/>
      </w:pPr>
      <w:r>
        <w:t xml:space="preserve">With an estimated 1 million Ethiopians suffering from avoidable blindness, and only 14 ophthalmologists serving a population of over 120 million nationwide, Ethiopia Addis Ababa represents both the epicenter of need and opportunity. The city's unique challenges—limited specialized infrastructure, high disease burden (including trachoma prevalence at 35% in rural zones), and economic constraints—demand innovative service models. This Sales Report underscores how our Ophthalmologist-led practice has navigated these complexities while achieving remarkable growth. Our success demonstrates that sustainable eye care can thrive even within Ethiopia's resource-limited environment when executed with clinical excellence and community-centric strategies.</w:t>
      </w:r>
    </w:p>
    <w:bookmarkEnd w:id="21"/>
    <w:bookmarkStart w:id="22" w:name="iii.-sales-performance-highlights"/>
    <w:p>
      <w:pPr>
        <w:pStyle w:val="Heading2"/>
      </w:pPr>
      <w:r>
        <w:t xml:space="preserve">III. Sales Performance Highlights</w:t>
      </w:r>
    </w:p>
    <w:p>
      <w:pPr>
        <w:pStyle w:val="FirstParagraph"/>
      </w:pPr>
      <w:r>
        <w:rPr>
          <w:bCs/>
          <w:b/>
        </w:rPr>
        <w:t xml:space="preserve">Patient Volume &amp; Revenue Growth:</w:t>
      </w:r>
      <w:r>
        <w:t xml:space="preserve"> </w:t>
      </w:r>
      <w:r>
        <w:t xml:space="preserve">12,543 patients served (up 18.7% YoY), generating ETH 4.8M in revenue (up 24% from Q3 2022). Cataract surgeries formed the dominant service line at 67% of procedures, followed by diabetic retinopathy screenings (18%) and pediatric eye care (15%).</w:t>
      </w:r>
    </w:p>
    <w:p>
      <w:pPr>
        <w:pStyle w:val="BodyText"/>
      </w:pPr>
      <w:r>
        <w:rPr>
          <w:bCs/>
          <w:b/>
        </w:rPr>
        <w:t xml:space="preserve">Revenue Streams Breakdown:</w:t>
      </w:r>
    </w:p>
    <w:p>
      <w:pPr>
        <w:numPr>
          <w:ilvl w:val="0"/>
          <w:numId w:val="1001"/>
        </w:numPr>
        <w:pStyle w:val="Compact"/>
      </w:pPr>
      <w:r>
        <w:t xml:space="preserve">Cataract Surgeries: ETH 2.9M (60.4% of revenue)</w:t>
      </w:r>
    </w:p>
    <w:p>
      <w:pPr>
        <w:numPr>
          <w:ilvl w:val="0"/>
          <w:numId w:val="1001"/>
        </w:numPr>
        <w:pStyle w:val="Compact"/>
      </w:pPr>
      <w:r>
        <w:t xml:space="preserve">Diagnostic Services (Visual Acuity, OCT, Retinal Scans): ETH 1.3M (27.1%)</w:t>
      </w:r>
    </w:p>
    <w:p>
      <w:pPr>
        <w:numPr>
          <w:ilvl w:val="0"/>
          <w:numId w:val="1001"/>
        </w:numPr>
        <w:pStyle w:val="Compact"/>
      </w:pPr>
      <w:r>
        <w:t xml:space="preserve">Post-Operative Care &amp; Medications: ETH 0.6M (12.5%)</w:t>
      </w:r>
    </w:p>
    <w:p>
      <w:pPr>
        <w:pStyle w:val="FirstParagraph"/>
      </w:pPr>
      <w:r>
        <w:rPr>
          <w:bCs/>
          <w:b/>
        </w:rPr>
        <w:t xml:space="preserve">Key Growth Drivers:</w:t>
      </w:r>
    </w:p>
    <w:p>
      <w:pPr>
        <w:numPr>
          <w:ilvl w:val="0"/>
          <w:numId w:val="1002"/>
        </w:numPr>
        <w:pStyle w:val="Compact"/>
      </w:pPr>
      <w:r>
        <w:rPr>
          <w:iCs/>
          <w:i/>
        </w:rPr>
        <w:t xml:space="preserve">Mobile Screening Units:</w:t>
      </w:r>
      <w:r>
        <w:t xml:space="preserve"> </w:t>
      </w:r>
      <w:r>
        <w:t xml:space="preserve">3 new community vans deployed across Addis Ababa zones, identifying 78% of new patients through outreach programs.</w:t>
      </w:r>
    </w:p>
    <w:p>
      <w:pPr>
        <w:numPr>
          <w:ilvl w:val="0"/>
          <w:numId w:val="1002"/>
        </w:numPr>
        <w:pStyle w:val="Compact"/>
      </w:pPr>
      <w:r>
        <w:rPr>
          <w:iCs/>
          <w:i/>
        </w:rPr>
        <w:t xml:space="preserve">Mohammed Ali Partnership:</w:t>
      </w:r>
      <w:r>
        <w:t xml:space="preserve"> </w:t>
      </w:r>
      <w:r>
        <w:t xml:space="preserve">Government collaboration for subsidized cataract surgeries (24% of procedures now covered by state funding).</w:t>
      </w:r>
    </w:p>
    <w:p>
      <w:pPr>
        <w:numPr>
          <w:ilvl w:val="0"/>
          <w:numId w:val="1002"/>
        </w:numPr>
        <w:pStyle w:val="Compact"/>
      </w:pPr>
      <w:r>
        <w:rPr>
          <w:iCs/>
          <w:i/>
        </w:rPr>
        <w:t xml:space="preserve">Insurance Expansion:</w:t>
      </w:r>
      <w:r>
        <w:t xml:space="preserve"> </w:t>
      </w:r>
      <w:r>
        <w:t xml:space="preserve">35 new private health insurance partnerships, increasing payor diversity from 12 to 30 entities.</w:t>
      </w:r>
    </w:p>
    <w:bookmarkEnd w:id="22"/>
    <w:bookmarkStart w:id="23" w:name="iv.-ophthalmologist-performance-metrics"/>
    <w:p>
      <w:pPr>
        <w:pStyle w:val="Heading2"/>
      </w:pPr>
      <w:r>
        <w:t xml:space="preserve">IV. Ophthalmologist Performance Metrics</w:t>
      </w:r>
    </w:p>
    <w:p>
      <w:pPr>
        <w:pStyle w:val="FirstParagraph"/>
      </w:pPr>
      <w:r>
        <w:t xml:space="preserve">This Sales Report emphasizes the critical role of our Ophthalmologist team in driving results. Dr. Amina Tekle (Lead Ophthalmologist) personally performed 72% of high-complexity surgeries, achieving a 98.3% complication rate below national standards. The clinic's Ophthalmologist retention rate remains at 100%, a rare feat in Ethiopia's competitive healthcare market where specialist turnover exceeds industry averages by 4x.</w:t>
      </w:r>
    </w:p>
    <w:p>
      <w:pPr>
        <w:pStyle w:val="BodyText"/>
      </w:pPr>
      <w:r>
        <w:rPr>
          <w:bCs/>
          <w:b/>
        </w:rPr>
        <w:t xml:space="preserve">Service Efficiency Indicators:</w:t>
      </w:r>
    </w:p>
    <w:p>
      <w:pPr>
        <w:numPr>
          <w:ilvl w:val="0"/>
          <w:numId w:val="1003"/>
        </w:numPr>
        <w:pStyle w:val="Compact"/>
      </w:pPr>
      <w:r>
        <w:t xml:space="preserve">Average Patient Wait Time: Reduced from 82 to 37 minutes through AI scheduling</w:t>
      </w:r>
    </w:p>
    <w:p>
      <w:pPr>
        <w:numPr>
          <w:ilvl w:val="0"/>
          <w:numId w:val="1003"/>
        </w:numPr>
        <w:pStyle w:val="Compact"/>
      </w:pPr>
      <w:r>
        <w:t xml:space="preserve">Post-Op Follow-Up Compliance: Increased from 58% to 86% via SMS reminders</w:t>
      </w:r>
    </w:p>
    <w:p>
      <w:pPr>
        <w:numPr>
          <w:ilvl w:val="0"/>
          <w:numId w:val="1003"/>
        </w:numPr>
        <w:pStyle w:val="Compact"/>
      </w:pPr>
      <w:r>
        <w:t xml:space="preserve">Diagnostic Accuracy Rate: Certified at 94.7% (exceeding WHO benchmarks)</w:t>
      </w:r>
    </w:p>
    <w:bookmarkEnd w:id="23"/>
    <w:bookmarkStart w:id="24" w:name="X9fb25e8a5d3219800ddbfd7d22a110c29fb34d1"/>
    <w:p>
      <w:pPr>
        <w:pStyle w:val="Heading2"/>
      </w:pPr>
      <w:r>
        <w:t xml:space="preserve">V. Strategic Challenges &amp; Solutions in Ethiopia Addis Ababa</w:t>
      </w:r>
    </w:p>
    <w:p>
      <w:pPr>
        <w:pStyle w:val="FirstParagraph"/>
      </w:pPr>
      <w:r>
        <w:t xml:space="preserve">The Sales Report identifies three critical challenges specific to operating an Ophthalmologist practice in Ethiopia Addis Ababa:</w:t>
      </w:r>
    </w:p>
    <w:p>
      <w:pPr>
        <w:numPr>
          <w:ilvl w:val="0"/>
          <w:numId w:val="1004"/>
        </w:numPr>
        <w:pStyle w:val="Compact"/>
      </w:pPr>
      <w:r>
        <w:rPr>
          <w:iCs/>
          <w:i/>
        </w:rPr>
        <w:t xml:space="preserve">Equipment Shortages:</w:t>
      </w:r>
      <w:r>
        <w:t xml:space="preserve"> </w:t>
      </w:r>
      <w:r>
        <w:t xml:space="preserve">Despite revenue growth, 60% of diagnostic machines require replacement. Solution: Partnered with NEFAC (New Eyes for Africa) for $150K in equipment donations (2023-24).</w:t>
      </w:r>
    </w:p>
    <w:p>
      <w:pPr>
        <w:numPr>
          <w:ilvl w:val="0"/>
          <w:numId w:val="1004"/>
        </w:numPr>
        <w:pStyle w:val="Compact"/>
      </w:pPr>
      <w:r>
        <w:rPr>
          <w:iCs/>
          <w:i/>
        </w:rPr>
        <w:t xml:space="preserve">Clinical Staff Training Gap:</w:t>
      </w:r>
      <w:r>
        <w:t xml:space="preserve"> </w:t>
      </w:r>
      <w:r>
        <w:t xml:space="preserve">Only 35% of nurses were certified in ophthalmic procedures. Solution: Launched "Addis Vision Academy" with WHO-approved training modules for 87 staff members.</w:t>
      </w:r>
    </w:p>
    <w:p>
      <w:pPr>
        <w:numPr>
          <w:ilvl w:val="0"/>
          <w:numId w:val="1004"/>
        </w:numPr>
        <w:pStyle w:val="Compact"/>
      </w:pPr>
      <w:r>
        <w:rPr>
          <w:iCs/>
          <w:i/>
        </w:rPr>
        <w:t xml:space="preserve">Geographic Accessibility:</w:t>
      </w:r>
      <w:r>
        <w:t xml:space="preserve"> </w:t>
      </w:r>
      <w:r>
        <w:t xml:space="preserve">62% of rural patients couldn't afford travel to Addis Ababa. Solution: Expanded tele-ophthalmology network connecting 14 health posts across Oromia and Amhara regions.</w:t>
      </w:r>
    </w:p>
    <w:bookmarkEnd w:id="24"/>
    <w:bookmarkStart w:id="25" w:name="X1ed087dd5c0d296cf255b50361610a2085187e5"/>
    <w:p>
      <w:pPr>
        <w:pStyle w:val="Heading2"/>
      </w:pPr>
      <w:r>
        <w:t xml:space="preserve">VI. Community Impact in Ethiopia Addis Ababa</w:t>
      </w:r>
    </w:p>
    <w:p>
      <w:pPr>
        <w:pStyle w:val="FirstParagraph"/>
      </w:pPr>
      <w:r>
        <w:t xml:space="preserve">Beyond financial metrics, this Sales Report highlights transformative community impact. Our Ophthalmologist team performed 3,817 free cataract surgeries through the "Vision for All" campaign, directly restoring sight to patients from underserved communities like Kirkos and Yeka districts. Partnering with local NGOs (e.g., Ethiopia Blindness Foundation), we trained 210 community health workers in basic eye screenings—a model now being replicated across five Ethiopian regions.</w:t>
      </w:r>
    </w:p>
    <w:p>
      <w:pPr>
        <w:pStyle w:val="BodyText"/>
      </w:pPr>
      <w:r>
        <w:t xml:space="preserve">Notably, patient satisfaction scores reached 92.4% (up from 85% in Q3 2022), with many citing "cultural sensitivity" and "affordable pricing" as key differentiators in Ethiopia Addis Ababa's crowded healthcare landscape.</w:t>
      </w:r>
    </w:p>
    <w:bookmarkEnd w:id="25"/>
    <w:bookmarkStart w:id="26" w:name="Xe388dfb8132378af626dee931206500682c4d7d"/>
    <w:p>
      <w:pPr>
        <w:pStyle w:val="Heading2"/>
      </w:pPr>
      <w:r>
        <w:t xml:space="preserve">VII. Future Outlook &amp; Strategic Recommendations</w:t>
      </w:r>
    </w:p>
    <w:p>
      <w:pPr>
        <w:pStyle w:val="FirstParagraph"/>
      </w:pPr>
      <w:r>
        <w:t xml:space="preserve">Based on current momentum, this Sales Report projects 30% revenue growth for 2024 through:</w:t>
      </w:r>
    </w:p>
    <w:p>
      <w:pPr>
        <w:numPr>
          <w:ilvl w:val="0"/>
          <w:numId w:val="1005"/>
        </w:numPr>
        <w:pStyle w:val="Compact"/>
      </w:pPr>
      <w:r>
        <w:t xml:space="preserve">Securing WHO certification for our pediatric ophthalmology unit (target: Q1 2024)</w:t>
      </w:r>
    </w:p>
    <w:p>
      <w:pPr>
        <w:numPr>
          <w:ilvl w:val="0"/>
          <w:numId w:val="1005"/>
        </w:numPr>
        <w:pStyle w:val="Compact"/>
      </w:pPr>
      <w:r>
        <w:t xml:space="preserve">Leveraging AI-powered retinal screening tools to double diabetic eye care capacity</w:t>
      </w:r>
    </w:p>
    <w:p>
      <w:pPr>
        <w:numPr>
          <w:ilvl w:val="0"/>
          <w:numId w:val="1005"/>
        </w:numPr>
        <w:pStyle w:val="Compact"/>
      </w:pPr>
      <w:r>
        <w:t xml:space="preserve">Expanding the "Ophthalmologist-in-a-Box" mobile unit to reach 50 rural health posts by year-end</w:t>
      </w:r>
    </w:p>
    <w:p>
      <w:pPr>
        <w:pStyle w:val="FirstParagraph"/>
      </w:pPr>
      <w:r>
        <w:t xml:space="preserve">Crucially, we recommend increased government investment in Ethiopia Addis Ababa's eye care infrastructure. Our data shows every ETH 1 invested in community screening yields ETH 6.2 in long-term productivity gains for the national economy.</w:t>
      </w:r>
    </w:p>
    <w:bookmarkEnd w:id="26"/>
    <w:bookmarkStart w:id="27" w:name="viii.-conclusion"/>
    <w:p>
      <w:pPr>
        <w:pStyle w:val="Heading2"/>
      </w:pPr>
      <w:r>
        <w:t xml:space="preserve">VIII. Conclusion</w:t>
      </w:r>
    </w:p>
    <w:p>
      <w:pPr>
        <w:pStyle w:val="FirstParagraph"/>
      </w:pPr>
      <w:r>
        <w:t xml:space="preserve">This Sales Report affirms that Ethiopia Addis Ababa can become a global model for sustainable ophthalmology care, even within low-resource settings. By centering our operations around patient access, clinical excellence led by skilled Ophthalmologist teams, and community partnership—rather than profit alone—we've transformed vision loss from a crisis into an opportunity for national development. The 24% revenue growth in Q3 2023 is not merely financial success; it's tangible proof that ethical eye care can scale meaningfully within Ethiopia's unique context.</w:t>
      </w:r>
    </w:p>
    <w:p>
      <w:pPr>
        <w:pStyle w:val="BodyText"/>
      </w:pPr>
      <w:r>
        <w:t xml:space="preserve">As we move forward, the Addis Ababa Ophthalmology Center will remain committed to its mission: "Restoring Sight, Building Futures." Our Sales Report demonstrates that when healthcare aligns with social impact, the results resonate far beyond any single metric. In Ethiopia Addis Ababa and across Africa, this model offers a blueprint for transforming ophthalmological services into catalysts for broader health equity.</w:t>
      </w:r>
    </w:p>
    <w:p>
      <w:pPr>
        <w:pStyle w:val="BodyText"/>
      </w:pPr>
      <w:r>
        <w:rPr>
          <w:iCs/>
          <w:i/>
        </w:rPr>
        <w:t xml:space="preserve">Prepared by:</w:t>
      </w:r>
      <w:r>
        <w:t xml:space="preserve"> </w:t>
      </w:r>
      <w:r>
        <w:t xml:space="preserve">Addis Eye Care Center Executive Analytics Team</w:t>
      </w:r>
      <w:r>
        <w:br/>
      </w:r>
      <w:r>
        <w:rPr>
          <w:iCs/>
          <w:i/>
        </w:rPr>
        <w:t xml:space="preserve">Contact:</w:t>
      </w:r>
      <w:r>
        <w:t xml:space="preserve"> </w:t>
      </w:r>
      <w:r>
        <w:t xml:space="preserve">info@addiseyecare.org | +251 11 968 7000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Addis Ababa, Ethiopia</dc:title>
  <dc:creator/>
  <dc:language>en</dc:language>
  <cp:keywords/>
  <dcterms:created xsi:type="dcterms:W3CDTF">2025-12-11T09:33:07Z</dcterms:created>
  <dcterms:modified xsi:type="dcterms:W3CDTF">2025-12-11T09:33:07Z</dcterms:modified>
</cp:coreProperties>
</file>

<file path=docProps/custom.xml><?xml version="1.0" encoding="utf-8"?>
<Properties xmlns="http://schemas.openxmlformats.org/officeDocument/2006/custom-properties" xmlns:vt="http://schemas.openxmlformats.org/officeDocument/2006/docPropsVTypes"/>
</file>