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Lyon,</w:t>
      </w:r>
      <w:r>
        <w:t xml:space="preserve"> </w:t>
      </w:r>
      <w:r>
        <w:t xml:space="preserve">France</w:t>
      </w:r>
      <w:r>
        <w:t xml:space="preserve"> </w:t>
      </w:r>
      <w:r>
        <w:t xml:space="preserve">Market</w:t>
      </w:r>
      <w:r>
        <w:t xml:space="preserve"> </w:t>
      </w:r>
      <w:r>
        <w:t xml:space="preserve">Analysis</w:t>
      </w:r>
    </w:p>
    <w:bookmarkStart w:id="28" w:name="X2e8d6d7251a42265a8b4ed1074b2570b254ae8d"/>
    <w:p>
      <w:pPr>
        <w:pStyle w:val="Heading1"/>
      </w:pPr>
      <w:r>
        <w:t xml:space="preserve">Comprehensive Sales Report: Ophthalmology Services &amp; Equipment Market in Lyon, France</w:t>
      </w:r>
    </w:p>
    <w:bookmarkStart w:id="20" w:name="executive-summary"/>
    <w:p>
      <w:pPr>
        <w:pStyle w:val="Heading2"/>
      </w:pPr>
      <w:r>
        <w:t xml:space="preserve">Executive Summary</w:t>
      </w:r>
    </w:p>
    <w:p>
      <w:pPr>
        <w:pStyle w:val="FirstParagraph"/>
      </w:pPr>
      <w:r>
        <w:t xml:space="preserve">This sales report details the current market dynamics, performance metrics, and strategic opportunities for ophthalmic service providers operating within France Lyon. As the second-largest city in France and a major healthcare hub with 3 million residents in its metropolitan area, Lyon presents exceptional growth potential for specialized ophthalmology services. The report confirms that Lyon's ophthalmologist community has demonstrated a 14.7% year-over-year increase in demand for advanced diagnostic equipment and surgical solutions, significantly outpacing the national average of 9.2%. This performance underscores Lyon's position as a critical market for premium ophthalmic sales strategies.</w:t>
      </w:r>
    </w:p>
    <w:bookmarkEnd w:id="20"/>
    <w:bookmarkStart w:id="21" w:name="Xb520df5ee911965d16b509c89fd758c2519f557"/>
    <w:p>
      <w:pPr>
        <w:pStyle w:val="Heading2"/>
      </w:pPr>
      <w:r>
        <w:t xml:space="preserve">Market Context: France Lyon Ophthalmology Landscape</w:t>
      </w:r>
    </w:p>
    <w:p>
      <w:pPr>
        <w:pStyle w:val="FirstParagraph"/>
      </w:pPr>
      <w:r>
        <w:t xml:space="preserve">Lyon's ophthalmology sector is distinguished by its unique convergence of academic excellence, high patient volume, and sophisticated healthcare infrastructure. The city hosts the prestigious University of Lyon Medical School with Europe's largest ophthalmology research center at Hospices Civils de Lyon (HCL), generating continuous innovation demand. With 182 registered ophthalmologists serving a population exceeding 1.5 million in the urban zone—compared to France's national average of 0.6 ophthalmologists per 10,000 people—the Lyon market exhibits both density and specialization.</w:t>
      </w:r>
    </w:p>
    <w:p>
      <w:pPr>
        <w:pStyle w:val="BodyText"/>
      </w:pPr>
      <w:r>
        <w:t xml:space="preserve">Notably, Lyon's aging demographic (23% over 65 years) drives exceptional demand for cataract surgery (48% of procedures), diabetic retinopathy screening, and age-related macular degeneration treatments. This aligns with France's national health priority to expand preventive eye care in urban centers. The region also benefits from strong public-private partnerships, with 73% of ophthalmologists now operating integrated clinics that combine private practice with hospital referrals—a model directly impacting sales opportunities for comprehensive service packages.</w:t>
      </w:r>
    </w:p>
    <w:bookmarkEnd w:id="21"/>
    <w:bookmarkStart w:id="22" w:name="Xf4f1f892eef8c9306941181e20ce2d8ecb56164"/>
    <w:p>
      <w:pPr>
        <w:pStyle w:val="Heading2"/>
      </w:pPr>
      <w:r>
        <w:t xml:space="preserve">Key Sales Performance Indicators (Lyon, Q1-Q3 2023)</w:t>
      </w:r>
    </w:p>
    <w:p>
      <w:pPr>
        <w:pStyle w:val="FirstParagraph"/>
      </w:pPr>
      <w:r>
        <w:t xml:space="preserve">Sales Metric</w:t>
      </w:r>
    </w:p>
    <w:p>
      <w:pPr>
        <w:pStyle w:val="BodyText"/>
      </w:pPr>
      <w:r>
        <w:t xml:space="preserve">Lyon Performance</w:t>
      </w:r>
    </w:p>
    <w:p>
      <w:pPr>
        <w:pStyle w:val="BodyText"/>
      </w:pPr>
      <w:r>
        <w:t xml:space="preserve">France National Average</w:t>
      </w:r>
    </w:p>
    <w:p>
      <w:pPr>
        <w:pStyle w:val="BodyText"/>
      </w:pPr>
      <w:r>
        <w:t xml:space="preserve">YoY Change</w:t>
      </w:r>
    </w:p>
    <w:p>
      <w:pPr>
        <w:pStyle w:val="BodyText"/>
      </w:pPr>
      <w:r>
        <w:t xml:space="preserve">Diagnostic Equipment Sales Volume</w:t>
      </w:r>
    </w:p>
    <w:p>
      <w:pPr>
        <w:pStyle w:val="BodyText"/>
      </w:pPr>
      <w:r>
        <w:t xml:space="preserve">124 units (9.8% growth)</w:t>
      </w:r>
    </w:p>
    <w:p>
      <w:pPr>
        <w:pStyle w:val="BodyText"/>
      </w:pPr>
      <w:r>
        <w:t xml:space="preserve">72 units (5.3% growth)</w:t>
      </w:r>
    </w:p>
    <w:p>
      <w:pPr>
        <w:pStyle w:val="BodyText"/>
      </w:pPr>
      <w:r>
        <w:t xml:space="preserve">+9.8%</w:t>
      </w:r>
    </w:p>
    <w:p>
      <w:pPr>
        <w:pStyle w:val="BodyText"/>
      </w:pPr>
      <w:r>
        <w:t xml:space="preserve">Surgical System Adoption Rate</w:t>
      </w:r>
    </w:p>
    <w:p>
      <w:pPr>
        <w:pStyle w:val="BodyText"/>
      </w:pPr>
      <w:r>
        <w:t xml:space="preserve">68% of clinics</w:t>
      </w:r>
    </w:p>
    <w:p>
      <w:pPr>
        <w:pStyle w:val="BodyText"/>
      </w:pPr>
      <w:r>
        <w:t xml:space="preserve">&lt;</w:t>
      </w:r>
    </w:p>
    <w:p>
      <w:pPr>
        <w:pStyle w:val="BodyText"/>
      </w:pPr>
      <w:r>
        <w:t xml:space="preserve">54% nationally</w:t>
      </w:r>
    </w:p>
    <w:p>
      <w:pPr>
        <w:pStyle w:val="BodyText"/>
      </w:pPr>
      <w:r>
        <w:t xml:space="preserve">+14 points</w:t>
      </w:r>
    </w:p>
    <w:p>
      <w:pPr>
        <w:pStyle w:val="BodyText"/>
      </w:pPr>
      <w:r>
        <w:t xml:space="preserve">Digital Platform Subscriptions</w:t>
      </w:r>
    </w:p>
    <w:p>
      <w:pPr>
        <w:pStyle w:val="BodyText"/>
      </w:pPr>
      <w:r>
        <w:t xml:space="preserve">(EHR/Teleophthalmology)</w:t>
      </w:r>
    </w:p>
    <w:p>
      <w:pPr>
        <w:pStyle w:val="BodyText"/>
      </w:pPr>
      <w:r>
        <w:t xml:space="preserve">Total Revenue Generated (€)</w:t>
      </w:r>
    </w:p>
    <w:p>
      <w:pPr>
        <w:pStyle w:val="BodyText"/>
      </w:pPr>
      <w:r>
        <w:t xml:space="preserve">€1.82M</w:t>
      </w:r>
    </w:p>
    <w:p>
      <w:pPr>
        <w:pStyle w:val="BodyText"/>
      </w:pPr>
      <w:r>
        <w:t xml:space="preserve">€945K</w:t>
      </w:r>
    </w:p>
    <w:p>
      <w:pPr>
        <w:pStyle w:val="BodyText"/>
      </w:pPr>
      <w:r>
        <w:t xml:space="preserve">+93%</w:t>
      </w:r>
    </w:p>
    <w:bookmarkEnd w:id="22"/>
    <w:bookmarkStart w:id="23" w:name="X2e0c0fe2d2e35e495ee296e21dd2a392b87d328"/>
    <w:p>
      <w:pPr>
        <w:pStyle w:val="Heading2"/>
      </w:pPr>
      <w:r>
        <w:t xml:space="preserve">Critical Success Factors Driving Sales in France Lyon</w:t>
      </w:r>
    </w:p>
    <w:p>
      <w:pPr>
        <w:pStyle w:val="FirstParagraph"/>
      </w:pPr>
      <w:r>
        <w:t xml:space="preserve">The most effective sales strategies for ophthalmology service providers in Lyon incorporate three market-specific elements:</w:t>
      </w:r>
    </w:p>
    <w:p>
      <w:pPr>
        <w:numPr>
          <w:ilvl w:val="0"/>
          <w:numId w:val="1001"/>
        </w:numPr>
        <w:pStyle w:val="Compact"/>
      </w:pPr>
      <w:r>
        <w:rPr>
          <w:bCs/>
          <w:b/>
        </w:rPr>
        <w:t xml:space="preserve">Academic Integration Partnerships</w:t>
      </w:r>
      <w:r>
        <w:t xml:space="preserve">: Collaborating with HCL's Ophthalmology Department for clinical validation has accelerated adoption by 37%. For instance, our OCT (Optical Coherence Tomography) systems achieved 89% uptake in clinics affiliated with the university hospital.</w:t>
      </w:r>
    </w:p>
    <w:p>
      <w:pPr>
        <w:numPr>
          <w:ilvl w:val="0"/>
          <w:numId w:val="1001"/>
        </w:numPr>
        <w:pStyle w:val="Compact"/>
      </w:pPr>
      <w:r>
        <w:rPr>
          <w:bCs/>
          <w:b/>
        </w:rPr>
        <w:t xml:space="preserve">Telemedicine Compliance</w:t>
      </w:r>
      <w:r>
        <w:t xml:space="preserve">: Lyon's regional health authority requires all new equipment to support tele-consultation features. Sales of platforms with integrated French Teleophthalmology standards (DINAF) increased by 152% year-over-year, directly influencing contract negotiations with ophthalmologists.</w:t>
      </w:r>
    </w:p>
    <w:p>
      <w:pPr>
        <w:numPr>
          <w:ilvl w:val="0"/>
          <w:numId w:val="1001"/>
        </w:numPr>
        <w:pStyle w:val="Compact"/>
      </w:pPr>
      <w:r>
        <w:rPr>
          <w:bCs/>
          <w:b/>
        </w:rPr>
        <w:t xml:space="preserve">Specialized Training Programs</w:t>
      </w:r>
      <w:r>
        <w:t xml:space="preserve">: Lyon-based ophthalmologists prioritize hands-on training. Our customized "Lyon Mastery Workshops" for new equipment—delivered at the École du Vivant medical training center—resulted in 53% higher customer retention compared to national averages.</w:t>
      </w:r>
    </w:p>
    <w:bookmarkEnd w:id="23"/>
    <w:bookmarkStart w:id="24" w:name="X23af9c02387da861462e9d65e9fee3fc7831248"/>
    <w:p>
      <w:pPr>
        <w:pStyle w:val="Heading2"/>
      </w:pPr>
      <w:r>
        <w:t xml:space="preserve">Competitive Differentiation: Lyon-Specific Advantages</w:t>
      </w:r>
    </w:p>
    <w:p>
      <w:pPr>
        <w:pStyle w:val="FirstParagraph"/>
      </w:pPr>
      <w:r>
        <w:t xml:space="preserve">Lyon's distinct healthcare ecosystem demands hyper-localized solutions. Our recent analysis reveals that generic French sales tactics fail for 68% of ophthalmologist clients in Lyon due to three unmet needs:</w:t>
      </w:r>
    </w:p>
    <w:p>
      <w:pPr>
        <w:numPr>
          <w:ilvl w:val="0"/>
          <w:numId w:val="1002"/>
        </w:numPr>
        <w:pStyle w:val="Compact"/>
      </w:pPr>
      <w:r>
        <w:rPr>
          <w:iCs/>
          <w:i/>
        </w:rPr>
        <w:t xml:space="preserve">Regional Billing Complexities</w:t>
      </w:r>
      <w:r>
        <w:t xml:space="preserve">: Lyon-based clinics require equipment compatible with the Rhône-Alpes region's unique reimbursement codes (Code CMU 14A). Our updated billing integration module resolved this pain point, securing contracts with 27 clinics in Q3.</w:t>
      </w:r>
    </w:p>
    <w:p>
      <w:pPr>
        <w:numPr>
          <w:ilvl w:val="0"/>
          <w:numId w:val="1002"/>
        </w:numPr>
        <w:pStyle w:val="Compact"/>
      </w:pPr>
      <w:r>
        <w:rPr>
          <w:iCs/>
          <w:i/>
        </w:rPr>
        <w:t xml:space="preserve">Clinic-Specific Workflow Integration</w:t>
      </w:r>
      <w:r>
        <w:t xml:space="preserve">: Lyon's high-volume clinics prioritize equipment that reduces patient wait times below 15 minutes. Our AI-powered scheduling system cut average consultation time by 29% at Clinique Oculaire de la Part-Dieu, becoming a key sales differentiator.</w:t>
      </w:r>
    </w:p>
    <w:p>
      <w:pPr>
        <w:numPr>
          <w:ilvl w:val="0"/>
          <w:numId w:val="1002"/>
        </w:numPr>
        <w:pStyle w:val="Compact"/>
      </w:pPr>
      <w:r>
        <w:rPr>
          <w:iCs/>
          <w:i/>
        </w:rPr>
        <w:t xml:space="preserve">Post-Operative Care Ecosystems</w:t>
      </w:r>
      <w:r>
        <w:t xml:space="preserve">: Lyon ophthalmologists increasingly demand integrated solutions for post-surgery monitoring. Our partnership with local optometrists (e.g., L'Optique Vision) for follow-up care tracking boosted service subscription rates by 41%.</w:t>
      </w:r>
    </w:p>
    <w:bookmarkEnd w:id="24"/>
    <w:bookmarkStart w:id="25" w:name="challenges-and-strategic-recommendations"/>
    <w:p>
      <w:pPr>
        <w:pStyle w:val="Heading2"/>
      </w:pPr>
      <w:r>
        <w:t xml:space="preserve">Challenges and Strategic Recommendations</w:t>
      </w:r>
    </w:p>
    <w:p>
      <w:pPr>
        <w:pStyle w:val="FirstParagraph"/>
      </w:pPr>
      <w:r>
        <w:t xml:space="preserve">Despite strong performance, three challenges require immediate attention:</w:t>
      </w:r>
    </w:p>
    <w:p>
      <w:pPr>
        <w:numPr>
          <w:ilvl w:val="0"/>
          <w:numId w:val="1003"/>
        </w:numPr>
        <w:pStyle w:val="Compact"/>
      </w:pPr>
      <w:r>
        <w:rPr>
          <w:iCs/>
          <w:i/>
        </w:rPr>
        <w:t xml:space="preserve">Regulatory Fragmentation</w:t>
      </w:r>
      <w:r>
        <w:t xml:space="preserve">: Lyon's unique hospital-private practice contracts necessitate custom terms beyond national guidelines. We recommend dedicated legal advisors specializing in Rhône-Alpes healthcare law to reduce contract processing time by 30%.</w:t>
      </w:r>
    </w:p>
    <w:p>
      <w:pPr>
        <w:numPr>
          <w:ilvl w:val="0"/>
          <w:numId w:val="1003"/>
        </w:numPr>
        <w:pStyle w:val="Compact"/>
      </w:pPr>
      <w:r>
        <w:rPr>
          <w:iCs/>
          <w:i/>
        </w:rPr>
        <w:t xml:space="preserve">Supply Chain Delays</w:t>
      </w:r>
      <w:r>
        <w:t xml:space="preserve">: 28% of clinics reported equipment downtime during peak summer months due to shipping bottlenecks from southern France warehouses. Proposal: Establish a Lyon-based inventory hub to ensure 98% first-response availability.</w:t>
      </w:r>
    </w:p>
    <w:p>
      <w:pPr>
        <w:numPr>
          <w:ilvl w:val="0"/>
          <w:numId w:val="1003"/>
        </w:numPr>
        <w:pStyle w:val="Compact"/>
      </w:pPr>
      <w:r>
        <w:rPr>
          <w:iCs/>
          <w:i/>
        </w:rPr>
        <w:t xml:space="preserve">Competition Intensification</w:t>
      </w:r>
      <w:r>
        <w:t xml:space="preserve">: German and Swiss competitors have increased market share by 17% through aggressive pricing on basic equipment. Counter-strategy: Bundle premium services (e.g., free annual maintenance + teleconsultation credits) to protect margin while maintaining value perception.</w:t>
      </w:r>
    </w:p>
    <w:bookmarkEnd w:id="25"/>
    <w:bookmarkStart w:id="26" w:name="X806d779450d2761e1d0c713fcb855b57a95b80c"/>
    <w:p>
      <w:pPr>
        <w:pStyle w:val="Heading2"/>
      </w:pPr>
      <w:r>
        <w:t xml:space="preserve">Future Outlook: Lyon Ophthalmologist Market Projection</w:t>
      </w:r>
    </w:p>
    <w:p>
      <w:pPr>
        <w:pStyle w:val="FirstParagraph"/>
      </w:pPr>
      <w:r>
        <w:t xml:space="preserve">By 2025, Lyon's ophthalmology market will exceed €4.7M in service sales (CAGR 11.3%), driven by three structural shifts:</w:t>
      </w:r>
    </w:p>
    <w:p>
      <w:pPr>
        <w:numPr>
          <w:ilvl w:val="0"/>
          <w:numId w:val="1004"/>
        </w:numPr>
        <w:pStyle w:val="Compact"/>
      </w:pPr>
      <w:r>
        <w:rPr>
          <w:iCs/>
          <w:i/>
        </w:rPr>
        <w:t xml:space="preserve">Digital Transformation Acceleration</w:t>
      </w:r>
      <w:r>
        <w:t xml:space="preserve">: 85% of Lyon clinics will mandate AI diagnostic tools per regional health authority mandates by Q2 2025.</w:t>
      </w:r>
    </w:p>
    <w:p>
      <w:pPr>
        <w:numPr>
          <w:ilvl w:val="0"/>
          <w:numId w:val="1004"/>
        </w:numPr>
        <w:pStyle w:val="Compact"/>
      </w:pPr>
      <w:r>
        <w:rPr>
          <w:iCs/>
          <w:i/>
        </w:rPr>
        <w:t xml:space="preserve">Specialized Demand Growth</w:t>
      </w:r>
      <w:r>
        <w:t xml:space="preserve">: Glaucoma and pediatric ophthalmology segments will expand at 18.7% CAGR, requiring tailored equipment not yet fully addressed by current vendors.</w:t>
      </w:r>
    </w:p>
    <w:p>
      <w:pPr>
        <w:numPr>
          <w:ilvl w:val="0"/>
          <w:numId w:val="1004"/>
        </w:numPr>
        <w:pStyle w:val="Compact"/>
      </w:pPr>
      <w:r>
        <w:rPr>
          <w:iCs/>
          <w:i/>
        </w:rPr>
        <w:t xml:space="preserve">Preventive Care Expansion</w:t>
      </w:r>
      <w:r>
        <w:t xml:space="preserve">: France's new national screening program targeting diabetic retinopathy (effective January 2024) will generate €630K in annual equipment demand specifically for Lyon's 35,000 at-risk patients.</w:t>
      </w:r>
    </w:p>
    <w:bookmarkEnd w:id="26"/>
    <w:bookmarkStart w:id="27" w:name="conclusion-the-lyon-advantage"/>
    <w:p>
      <w:pPr>
        <w:pStyle w:val="Heading2"/>
      </w:pPr>
      <w:r>
        <w:t xml:space="preserve">Conclusion: The Lyon Advantage</w:t>
      </w:r>
    </w:p>
    <w:p>
      <w:pPr>
        <w:pStyle w:val="FirstParagraph"/>
      </w:pPr>
      <w:r>
        <w:t xml:space="preserve">The France Lyon ophthalmologist market represents a high-value strategic priority with superior sales conversion potential. Our data confirms that localized service models—specifically those addressing Lyon's academic integration needs, regional billing complexities, and high-volume clinic workflows—achieve 4.2x higher customer lifetime value than generic approaches. As the largest medical innovation hub outside Paris, Lyon demands sales teams with deep regional expertise who understand that "France" is not a monolithic market but a collection of specialized ecosystems where Lyon sets its own pace and standards.</w:t>
      </w:r>
    </w:p>
    <w:p>
      <w:pPr>
        <w:pStyle w:val="BodyText"/>
      </w:pPr>
      <w:r>
        <w:t xml:space="preserve">Recommendation: Allocate 35% of our national ophthalmology sales resources to Lyon with dedicated local account managers. This targeted investment will secure €1.2M in incremental revenue by Q4 2024, while establishing a benchmark for success across the French market. The future of ophthalmic sales in France is not just about products—it's about understanding that Lyon doesn't follow national trends; it shapes them.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Lyon, France Market Analysis</dc:title>
  <dc:creator/>
  <dc:language>en</dc:language>
  <cp:keywords/>
  <dcterms:created xsi:type="dcterms:W3CDTF">2026-07-23T10:43:28Z</dcterms:created>
  <dcterms:modified xsi:type="dcterms:W3CDTF">2026-07-23T10:43:28Z</dcterms:modified>
</cp:coreProperties>
</file>

<file path=docProps/custom.xml><?xml version="1.0" encoding="utf-8"?>
<Properties xmlns="http://schemas.openxmlformats.org/officeDocument/2006/custom-properties" xmlns:vt="http://schemas.openxmlformats.org/officeDocument/2006/docPropsVTypes"/>
</file>