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France</w:t>
      </w:r>
      <w:r>
        <w:t xml:space="preserve"> </w:t>
      </w:r>
      <w:r>
        <w:t xml:space="preserve">Paris</w:t>
      </w:r>
    </w:p>
    <w:bookmarkStart w:id="20" w:name="X410d313716050f973e22769afa56692d26a179d"/>
    <w:p>
      <w:pPr>
        <w:pStyle w:val="Heading1"/>
      </w:pPr>
      <w:r>
        <w:t xml:space="preserve">Annual Sales Report: Ophthalmologist Practice Performance in France Paris</w:t>
      </w:r>
    </w:p>
    <w:p>
      <w:pPr>
        <w:pStyle w:val="FirstParagraph"/>
      </w:pPr>
      <w:r>
        <w:t xml:space="preserve">OptiVision Paris | Strategic Healthcare Analytics Division</w:t>
      </w:r>
    </w:p>
    <w:p>
      <w:pPr>
        <w:pStyle w:val="BodyText"/>
      </w:pPr>
      <w:r>
        <w:rPr>
          <w:bCs/>
          <w:b/>
        </w:rPr>
        <w:t xml:space="preserve">Date:</w:t>
      </w:r>
      <w:r>
        <w:t xml:space="preserve"> </w:t>
      </w:r>
      <w:r>
        <w:t xml:space="preserve">October 26, 2023 |</w:t>
      </w:r>
      <w:r>
        <w:t xml:space="preserve"> </w:t>
      </w:r>
      <w:r>
        <w:rPr>
          <w:bCs/>
          <w:b/>
        </w:rPr>
        <w:t xml:space="preserve">Prepared For:</w:t>
      </w:r>
      <w:r>
        <w:t xml:space="preserve"> </w:t>
      </w:r>
      <w:r>
        <w:t xml:space="preserve">Board of Directors, OptiVision Group</w:t>
      </w:r>
    </w:p>
    <w:bookmarkEnd w:id="20"/>
    <w:bookmarkStart w:id="21" w:name="executive-summary"/>
    <w:p>
      <w:pPr>
        <w:pStyle w:val="Heading2"/>
      </w:pPr>
      <w:r>
        <w:t xml:space="preserve">Executive Summary</w:t>
      </w:r>
    </w:p>
    <w:p>
      <w:pPr>
        <w:pStyle w:val="FirstParagraph"/>
      </w:pPr>
      <w:r>
        <w:t xml:space="preserve">This comprehensive Sales Report details the operational and financial performance of our ophthalmology practice across France Paris during Q1-Q3 2023. As a leading ophthalmologist-focused healthcare provider in metropolitan Paris, we have achieved significant growth in both clinical service delivery and premium optical product sales, solidifying our market position amid France's evolving healthcare landscape. The report demonstrates how strategic adaptation to local patient demographics and regulatory frameworks has driven a 18.7% year-over-year revenue increase to €4,285,000 – exceeding all initial targets by 12%. This success underscores the critical importance of specialized ophthalmologist expertise combined with consumer-centric sales strategies within France Paris's competitive healthcare ecosystem.</w:t>
      </w:r>
    </w:p>
    <w:p>
      <w:pPr>
        <w:pStyle w:val="BodyText"/>
      </w:pPr>
      <w:r>
        <w:rPr>
          <w:bCs/>
          <w:b/>
        </w:rPr>
        <w:t xml:space="preserve">Key Achievement:</w:t>
      </w:r>
      <w:r>
        <w:t xml:space="preserve"> </w:t>
      </w:r>
      <w:r>
        <w:t xml:space="preserve">For the first time in our history, optical product sales (including premium lenses, progressive glasses, and contact lenses) surpassed clinical procedure revenue by 5.2%, reflecting Parisian patients' growing investment in high-end vision solutions.</w:t>
      </w:r>
    </w:p>
    <w:bookmarkEnd w:id="21"/>
    <w:bookmarkStart w:id="22" w:name="X544738ab34f368efaad9a9fee815dc03706a586"/>
    <w:p>
      <w:pPr>
        <w:pStyle w:val="Heading2"/>
      </w:pPr>
      <w:r>
        <w:t xml:space="preserve">Market Context: Ophthalmology Demand in France Paris</w:t>
      </w:r>
    </w:p>
    <w:p>
      <w:pPr>
        <w:pStyle w:val="FirstParagraph"/>
      </w:pPr>
      <w:r>
        <w:t xml:space="preserve">Paris represents a unique market for ophthalmologist services due to its dense population of 10.9 million residents, high disposable income levels (average household income: €45,300), and aging demographic (18% aged 65+). France's national healthcare system (Sécurité Sociale) provides baseline coverage for essential eye care, but Parisian patients increasingly seek private premium services – a trend our practice has strategically capitalized on. The 2023 French Ophthalmology Association report confirms Paris accounts for 34% of all high-end ophthalmic procedures in France, driven by elite patient expectations and the city's status as a global healthcare destination.</w:t>
      </w:r>
    </w:p>
    <w:p>
      <w:pPr>
        <w:pStyle w:val="BodyText"/>
      </w:pPr>
      <w:r>
        <w:t xml:space="preserve">Our Sales Report analysis reveals that Parisian patients prioritize two factors above all: (1) personalized care from board-certified ophthalmologist specialists, and (2) access to cutting-edge optical technology. This dual demand has shaped our sales strategy, with 73% of new patient acquisitions directly tied to physician referrals – a metric 28% higher than the national average.</w:t>
      </w:r>
    </w:p>
    <w:bookmarkEnd w:id="22"/>
    <w:bookmarkStart w:id="24" w:name="Xb32dc91b453a30dbb021e3b72d0c65012620748"/>
    <w:p>
      <w:pPr>
        <w:pStyle w:val="Heading2"/>
      </w:pPr>
      <w:r>
        <w:t xml:space="preserve">Performance Breakdown: Sales Metrics in France Paris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Service Category</w:t>
            </w:r>
          </w:p>
        </w:tc>
        <w:tc>
          <w:tcPr/>
          <w:p>
            <w:pPr>
              <w:pStyle w:val="Compact"/>
              <w:jc w:val="left"/>
            </w:pPr>
            <w:r>
              <w:t xml:space="preserve">Q3 2022 Revenue (€)</w:t>
            </w:r>
          </w:p>
        </w:tc>
        <w:tc>
          <w:tcPr/>
          <w:p>
            <w:pPr>
              <w:pStyle w:val="Compact"/>
              <w:jc w:val="left"/>
            </w:pPr>
            <w:r>
              <w:t xml:space="preserve">Q3 2023 Revenue (€)</w:t>
            </w:r>
          </w:p>
        </w:tc>
        <w:tc>
          <w:tcPr/>
          <w:p>
            <w:pPr>
              <w:pStyle w:val="Compact"/>
              <w:jc w:val="left"/>
            </w:pPr>
            <w:r>
              <w:t xml:space="preserve">% Change</w:t>
            </w:r>
          </w:p>
        </w:tc>
        <w:tc>
          <w:tcPr/>
          <w:p>
            <w:pPr>
              <w:pStyle w:val="Compact"/>
              <w:jc w:val="left"/>
            </w:pPr>
            <w:r>
              <w:t xml:space="preserve">Metric Impact</w:t>
            </w:r>
          </w:p>
        </w:tc>
        <w:tc>
          <w:tcPr/>
          <w:p>
            <w:pPr>
              <w:pStyle w:val="Compact"/>
            </w:pPr>
          </w:p>
        </w:tc>
      </w:tr>
      <w:tr>
        <w:tc>
          <w:tcPr/>
          <w:p>
            <w:pPr>
              <w:pStyle w:val="Compact"/>
              <w:jc w:val="left"/>
            </w:pPr>
            <w:r>
              <w:t xml:space="preserve">Comprehensive Eye Examinations</w:t>
            </w:r>
          </w:p>
        </w:tc>
        <w:tc>
          <w:tcPr/>
          <w:p>
            <w:pPr>
              <w:pStyle w:val="Compact"/>
              <w:jc w:val="left"/>
            </w:pPr>
            <w:r>
              <w:t xml:space="preserve">845,000</w:t>
            </w:r>
          </w:p>
        </w:tc>
        <w:tc>
          <w:tcPr/>
          <w:p>
            <w:pPr>
              <w:pStyle w:val="Compact"/>
              <w:jc w:val="left"/>
            </w:pPr>
            <w:r>
              <w:t xml:space="preserve">912,350</w:t>
            </w:r>
          </w:p>
        </w:tc>
        <w:tc>
          <w:tcPr/>
          <w:p>
            <w:pPr>
              <w:pStyle w:val="Compact"/>
              <w:jc w:val="left"/>
            </w:pPr>
            <w:r>
              <w:t xml:space="preserve">+7.9%</w:t>
            </w:r>
          </w:p>
        </w:tc>
        <w:tc>
          <w:tcPr/>
          <w:p>
            <w:pPr>
              <w:pStyle w:val="Compact"/>
              <w:jc w:val="left"/>
            </w:pPr>
            <w:r>
              <w:t xml:space="preserve">Increase driven by 22% growth in corporate wellness partnerships with Parisian tech firms (e.g., Google France, Air France)</w:t>
            </w:r>
          </w:p>
        </w:tc>
        <w:tc>
          <w:tcPr/>
          <w:p>
            <w:pPr>
              <w:pStyle w:val="Compact"/>
            </w:pPr>
          </w:p>
        </w:tc>
      </w:tr>
      <w:tr>
        <w:tc>
          <w:tcPr/>
          <w:p>
            <w:pPr>
              <w:pStyle w:val="Compact"/>
              <w:jc w:val="left"/>
            </w:pPr>
            <w:r>
              <w:t xml:space="preserve">Refractive Surgery (LASIK/PRK)</w:t>
            </w:r>
          </w:p>
        </w:tc>
        <w:tc>
          <w:tcPr/>
          <w:p>
            <w:pPr>
              <w:pStyle w:val="Compact"/>
              <w:jc w:val="left"/>
            </w:pPr>
            <w:r>
              <w:t xml:space="preserve">1,120,000</w:t>
            </w:r>
          </w:p>
        </w:tc>
        <w:tc>
          <w:tcPr/>
          <w:p>
            <w:pPr>
              <w:pStyle w:val="Compact"/>
              <w:jc w:val="left"/>
            </w:pPr>
            <w:r>
              <w:t xml:space="preserve">1,345,800</w:t>
            </w:r>
          </w:p>
        </w:tc>
        <w:tc>
          <w:tcPr/>
          <w:p>
            <w:pPr>
              <w:pStyle w:val="Compact"/>
              <w:jc w:val="left"/>
            </w:pPr>
            <w:r>
              <w:t xml:space="preserve">+20.2%</w:t>
            </w:r>
          </w:p>
        </w:tc>
        <w:tc>
          <w:tcPr/>
          <w:p>
            <w:pPr>
              <w:pStyle w:val="Compact"/>
              <w:jc w:val="left"/>
            </w:pPr>
            <w:r>
              <w:t xml:space="preserve">New 7-day post-op recovery suite in Le Marais district boosted conversion by 34%</w:t>
            </w:r>
          </w:p>
        </w:tc>
        <w:tc>
          <w:tcPr/>
          <w:p>
            <w:pPr>
              <w:pStyle w:val="Compact"/>
            </w:pPr>
          </w:p>
        </w:tc>
      </w:tr>
      <w:tr>
        <w:tc>
          <w:tcPr/>
          <w:p>
            <w:pPr>
              <w:pStyle w:val="Compact"/>
              <w:jc w:val="left"/>
            </w:pPr>
            <w:r>
              <w:t xml:space="preserve">Total Clinical Revenue</w:t>
            </w:r>
          </w:p>
        </w:tc>
        <w:tc>
          <w:tcPr/>
          <w:p>
            <w:pPr>
              <w:pStyle w:val="Compact"/>
              <w:jc w:val="left"/>
            </w:pPr>
            <w:r>
              <w:rPr>
                <w:bCs/>
                <w:b/>
              </w:rPr>
              <w:t xml:space="preserve">1,965,000</w:t>
            </w:r>
          </w:p>
        </w:tc>
        <w:tc>
          <w:tcPr/>
          <w:p>
            <w:pPr>
              <w:pStyle w:val="Compact"/>
              <w:jc w:val="left"/>
            </w:pPr>
            <w:r>
              <w:rPr>
                <w:bCs/>
                <w:b/>
              </w:rPr>
              <w:t xml:space="preserve">2,258,150</w:t>
            </w:r>
          </w:p>
        </w:tc>
        <w:tc>
          <w:tcPr/>
          <w:p>
            <w:pPr>
              <w:pStyle w:val="Compact"/>
              <w:jc w:val="left"/>
            </w:pPr>
            <w:r>
              <w:rPr>
                <w:bCs/>
                <w:b/>
              </w:rPr>
              <w:t xml:space="preserve">+14.9%</w:t>
            </w:r>
          </w:p>
        </w:tc>
        <w:tc>
          <w:tcPr>
            <w:gridSpan w:val="2"/>
          </w:tcPr>
          <w:p>
            <w:pPr>
              <w:pStyle w:val="Compact"/>
              <w:jc w:val="left"/>
            </w:pPr>
            <w:r>
              <w:t xml:space="preserve">Exceeded target by 18.3% through ophthalmologist-led patient education initiatives</w:t>
            </w:r>
          </w:p>
        </w:tc>
      </w:tr>
      <w:tr>
        <w:tc>
          <w:tcPr/>
          <w:p>
            <w:pPr>
              <w:pStyle w:val="Compact"/>
              <w:jc w:val="left"/>
            </w:pPr>
            <w:r>
              <w:t xml:space="preserve">Premium Eyewear &amp; Lenses</w:t>
            </w:r>
          </w:p>
        </w:tc>
        <w:tc>
          <w:tcPr/>
          <w:p>
            <w:pPr>
              <w:pStyle w:val="Compact"/>
              <w:jc w:val="left"/>
            </w:pPr>
            <w:r>
              <w:t xml:space="preserve">680,000</w:t>
            </w:r>
          </w:p>
        </w:tc>
        <w:tc>
          <w:tcPr/>
          <w:p>
            <w:pPr>
              <w:pStyle w:val="Compact"/>
              <w:jc w:val="left"/>
            </w:pPr>
            <w:r>
              <w:t xml:space="preserve">927,500</w:t>
            </w:r>
          </w:p>
        </w:tc>
        <w:tc>
          <w:tcPr/>
          <w:p>
            <w:pPr>
              <w:pStyle w:val="Compact"/>
              <w:jc w:val="left"/>
            </w:pPr>
            <w:r>
              <w:t xml:space="preserve">+36.4%</w:t>
            </w:r>
          </w:p>
        </w:tc>
        <w:tc>
          <w:tcPr/>
          <w:p>
            <w:pPr>
              <w:pStyle w:val="Compact"/>
              <w:jc w:val="left"/>
            </w:pPr>
            <w:r>
              <w:t xml:space="preserve">Growth fueled by collaborations with Parisian luxury brands (e.g., Cartier Optical)</w:t>
            </w:r>
          </w:p>
        </w:tc>
        <w:tc>
          <w:tcPr/>
          <w:p>
            <w:pPr>
              <w:pStyle w:val="Compact"/>
            </w:pPr>
          </w:p>
        </w:tc>
      </w:tr>
      <w:tr>
        <w:tc>
          <w:tcPr/>
          <w:p>
            <w:pPr>
              <w:pStyle w:val="Compact"/>
              <w:jc w:val="left"/>
            </w:pPr>
            <w:r>
              <w:t xml:space="preserve">Total Optical Revenue</w:t>
            </w:r>
          </w:p>
        </w:tc>
        <w:tc>
          <w:tcPr/>
          <w:p>
            <w:pPr>
              <w:pStyle w:val="Compact"/>
              <w:jc w:val="left"/>
            </w:pPr>
            <w:r>
              <w:rPr>
                <w:bCs/>
                <w:b/>
              </w:rPr>
              <w:t xml:space="preserve">680,000</w:t>
            </w:r>
          </w:p>
        </w:tc>
        <w:tc>
          <w:tcPr/>
          <w:p>
            <w:pPr>
              <w:pStyle w:val="Compact"/>
              <w:jc w:val="left"/>
            </w:pPr>
            <w:r>
              <w:rPr>
                <w:bCs/>
                <w:b/>
              </w:rPr>
              <w:t xml:space="preserve">927,500</w:t>
            </w:r>
          </w:p>
        </w:tc>
        <w:tc>
          <w:tcPr/>
          <w:p>
            <w:pPr>
              <w:pStyle w:val="Compact"/>
              <w:jc w:val="left"/>
            </w:pPr>
            <w:r>
              <w:rPr>
                <w:bCs/>
                <w:b/>
              </w:rPr>
              <w:t xml:space="preserve">+36.4%</w:t>
            </w:r>
          </w:p>
        </w:tc>
        <w:tc>
          <w:tcPr>
            <w:gridSpan w:val="2"/>
          </w:tcPr>
          <w:p>
            <w:pPr>
              <w:pStyle w:val="Compact"/>
              <w:jc w:val="left"/>
            </w:pPr>
            <w:r>
              <w:t xml:space="preserve">Highest growth segment; now constitutes 21.7% of total sales revenue</w:t>
            </w:r>
          </w:p>
        </w:tc>
      </w:tr>
      <w:tr>
        <w:tc>
          <w:tcPr/>
          <w:p>
            <w:pPr>
              <w:pStyle w:val="Compact"/>
              <w:jc w:val="left"/>
            </w:pPr>
            <w:r>
              <w:rPr>
                <w:bCs/>
                <w:b/>
              </w:rPr>
              <w:t xml:space="preserve">Grand Total Revenue</w:t>
            </w:r>
          </w:p>
        </w:tc>
        <w:tc>
          <w:tcPr/>
          <w:p>
            <w:pPr>
              <w:pStyle w:val="Compact"/>
              <w:jc w:val="left"/>
            </w:pPr>
            <w:r>
              <w:rPr>
                <w:bCs/>
                <w:b/>
              </w:rPr>
              <w:t xml:space="preserve">2,645,000</w:t>
            </w:r>
          </w:p>
        </w:tc>
        <w:tc>
          <w:tcPr/>
          <w:p>
            <w:pPr>
              <w:pStyle w:val="Compact"/>
              <w:jc w:val="left"/>
            </w:pPr>
            <w:r>
              <w:rPr>
                <w:bCs/>
                <w:b/>
              </w:rPr>
              <w:t xml:space="preserve">3,185,650</w:t>
            </w:r>
          </w:p>
        </w:tc>
        <w:tc>
          <w:tcPr/>
          <w:p>
            <w:pPr>
              <w:pStyle w:val="Compact"/>
              <w:jc w:val="left"/>
            </w:pPr>
            <w:r>
              <w:rPr>
                <w:bCs/>
                <w:b/>
              </w:rPr>
              <w:t xml:space="preserve">+20.4%</w:t>
            </w:r>
          </w:p>
        </w:tc>
        <w:tc>
          <w:tcPr>
            <w:gridSpan w:val="2"/>
          </w:tcPr>
          <w:p>
            <w:pPr>
              <w:pStyle w:val="Compact"/>
              <w:jc w:val="left"/>
            </w:pPr>
            <w:r>
              <w:rPr>
                <w:iCs/>
                <w:i/>
              </w:rPr>
              <w:t xml:space="preserve">This represents the strongest performance in our France Paris operations since 2019</w:t>
            </w:r>
          </w:p>
        </w:tc>
      </w:tr>
    </w:tbl>
    <w:bookmarkStart w:id="23" w:name="Xdad683e2545eba793ca7d3f0d3dfa4dd7bf3758"/>
    <w:p>
      <w:pPr>
        <w:pStyle w:val="Heading3"/>
      </w:pPr>
      <w:r>
        <w:t xml:space="preserve">Key Driver Analysis: The Ophthalmologist's Sales Impact</w:t>
      </w:r>
    </w:p>
    <w:p>
      <w:pPr>
        <w:pStyle w:val="FirstParagraph"/>
      </w:pPr>
      <w:r>
        <w:t xml:space="preserve">Our sales data reveals that physician-led interactions directly correlate with higher conversion rates. In France Paris, patients referred by our in-house ophthalmologists (all board-certified and practicing exclusively at OptiVision Paris) have a 68% higher lifetime value compared to those acquired through general advertising. This is attributed to the trust built during clinical consultations – a critical factor for French consumers who prioritize physician recommendations above all other marketing channels.</w:t>
      </w:r>
    </w:p>
    <w:p>
      <w:pPr>
        <w:pStyle w:val="BodyText"/>
      </w:pPr>
      <w:r>
        <w:t xml:space="preserve">Specifically, Dr. Élodie Moreau (our lead ophthalmologist with 20 years' experience in Parisian eye care) personally conducts 95% of premium procedure consultations. Her "Vision Wellness" patient education program has driven a 32% increase in optical product add-on sales during exam appointments – proving that specialized ophthalmologist expertise directly translates to revenue growth.</w:t>
      </w:r>
    </w:p>
    <w:bookmarkEnd w:id="23"/>
    <w:bookmarkEnd w:id="24"/>
    <w:bookmarkStart w:id="25" w:name="Xdbe0c921b218518d3ad38c1cc01de3e256ddfbd"/>
    <w:p>
      <w:pPr>
        <w:pStyle w:val="Heading2"/>
      </w:pPr>
      <w:r>
        <w:t xml:space="preserve">France Paris-Specific Challenges &amp; Strategic Adaptations</w:t>
      </w:r>
    </w:p>
    <w:p>
      <w:pPr>
        <w:pStyle w:val="FirstParagraph"/>
      </w:pPr>
      <w:r>
        <w:t xml:space="preserve">Operating within France's strict healthcare regulations (notably AMM approval requirements for new technologies) presented challenges, but our Sales Report identifies three successful adaptations:</w:t>
      </w:r>
    </w:p>
    <w:p>
      <w:pPr>
        <w:numPr>
          <w:ilvl w:val="0"/>
          <w:numId w:val="1001"/>
        </w:numPr>
        <w:pStyle w:val="Compact"/>
      </w:pPr>
      <w:r>
        <w:rPr>
          <w:bCs/>
          <w:b/>
        </w:rPr>
        <w:t xml:space="preserve">Localized Compliance Integration:</w:t>
      </w:r>
      <w:r>
        <w:t xml:space="preserve"> </w:t>
      </w:r>
      <w:r>
        <w:t xml:space="preserve">We developed a dedicated "France Paris Regulatory Team" that pre-approves all optical product vendors against French health ministry standards. This reduced sales cycle time by 40% and eliminated compliance-related revenue loss.</w:t>
      </w:r>
    </w:p>
    <w:p>
      <w:pPr>
        <w:numPr>
          <w:ilvl w:val="0"/>
          <w:numId w:val="1001"/>
        </w:numPr>
        <w:pStyle w:val="Compact"/>
      </w:pPr>
      <w:r>
        <w:rPr>
          <w:bCs/>
          <w:b/>
        </w:rPr>
        <w:t xml:space="preserve">Cultural Sales Approach:</w:t>
      </w:r>
      <w:r>
        <w:t xml:space="preserve"> </w:t>
      </w:r>
      <w:r>
        <w:t xml:space="preserve">Recognizing Parisians' preference for in-person consultations over digital, we increased physical clinic hours in the 7th arrondissement (near Eiffel Tower) by 35%, resulting in a 27% higher conversion rate at these locations.</w:t>
      </w:r>
    </w:p>
    <w:p>
      <w:pPr>
        <w:numPr>
          <w:ilvl w:val="0"/>
          <w:numId w:val="1001"/>
        </w:numPr>
        <w:pStyle w:val="Compact"/>
      </w:pPr>
      <w:r>
        <w:rPr>
          <w:bCs/>
          <w:b/>
        </w:rPr>
        <w:t xml:space="preserve">Demographic Targeting:</w:t>
      </w:r>
      <w:r>
        <w:t xml:space="preserve"> </w:t>
      </w:r>
      <w:r>
        <w:t xml:space="preserve">We launched "Senior Vision Care" packages for Paris's growing elderly population (65+), featuring bilingual French/English support. This segment now contributes €382,000 annually to our sales – up 147% YoY.</w:t>
      </w:r>
    </w:p>
    <w:p>
      <w:pPr>
        <w:pStyle w:val="FirstParagraph"/>
      </w:pPr>
      <w:r>
        <w:t xml:space="preserve">These adaptations directly address unique France Paris market dynamics: The city's high cost of living necessitates premium service justification, while its cultural emphasis on aesthetics elevates optical product sales beyond functional necessity.</w:t>
      </w:r>
    </w:p>
    <w:bookmarkEnd w:id="25"/>
    <w:bookmarkStart w:id="26" w:name="X5fbceb4f158eddd2a1b0e1d4dfa158ac0fe33a6"/>
    <w:p>
      <w:pPr>
        <w:pStyle w:val="Heading2"/>
      </w:pPr>
      <w:r>
        <w:t xml:space="preserve">Future Outlook: Strategic Sales Recommendations for France Paris</w:t>
      </w:r>
    </w:p>
    <w:p>
      <w:pPr>
        <w:pStyle w:val="FirstParagraph"/>
      </w:pPr>
      <w:r>
        <w:t xml:space="preserve">Based on our comprehensive Sales Report analysis, we recommend three priority actions to sustain growth in the France Paris market:</w:t>
      </w:r>
    </w:p>
    <w:p>
      <w:pPr>
        <w:numPr>
          <w:ilvl w:val="0"/>
          <w:numId w:val="1002"/>
        </w:numPr>
        <w:pStyle w:val="Compact"/>
      </w:pPr>
      <w:r>
        <w:rPr>
          <w:bCs/>
          <w:b/>
        </w:rPr>
        <w:t xml:space="preserve">Expand Ophthalmologist-Led Telehealth Services:</w:t>
      </w:r>
      <w:r>
        <w:t xml:space="preserve"> </w:t>
      </w:r>
      <w:r>
        <w:t xml:space="preserve">Launch a premium virtual ophthalmologist consultation service targeting Parisian expatriates (42% of our new patients in Q3). This addresses the growing demand for "hybrid care" while maintaining France's strict medical telemedicine regulations.</w:t>
      </w:r>
    </w:p>
    <w:p>
      <w:pPr>
        <w:numPr>
          <w:ilvl w:val="0"/>
          <w:numId w:val="1002"/>
        </w:numPr>
        <w:pStyle w:val="Compact"/>
      </w:pPr>
      <w:r>
        <w:rPr>
          <w:bCs/>
          <w:b/>
        </w:rPr>
        <w:t xml:space="preserve">Develop Exclusive Luxury Optical Partnerships:</w:t>
      </w:r>
      <w:r>
        <w:t xml:space="preserve"> </w:t>
      </w:r>
      <w:r>
        <w:t xml:space="preserve">Forge an official partnership with French luxury fashion houses (e.g., Chanel Optics) for co-branded eyewear, targeting Parisian high-net-worth individuals. This aligns perfectly with France Paris's status as a global luxury hub.</w:t>
      </w:r>
    </w:p>
    <w:p>
      <w:pPr>
        <w:numPr>
          <w:ilvl w:val="0"/>
          <w:numId w:val="1002"/>
        </w:numPr>
        <w:pStyle w:val="Compact"/>
      </w:pPr>
      <w:r>
        <w:rPr>
          <w:bCs/>
          <w:b/>
        </w:rPr>
        <w:t xml:space="preserve">Enhance Data-Driven Patient Retention:</w:t>
      </w:r>
      <w:r>
        <w:t xml:space="preserve"> </w:t>
      </w:r>
      <w:r>
        <w:t xml:space="preserve">Implement AI-powered patient journey analytics to predict when French patients are likely to need follow-up services. Our Sales Report shows that patients receiving personalized retention offers from their ophthalmologist have 53% higher repeat purchase rates.</w:t>
      </w:r>
    </w:p>
    <w:p>
      <w:pPr>
        <w:pStyle w:val="FirstParagraph"/>
      </w:pPr>
      <w:r>
        <w:t xml:space="preserve">These initiatives directly leverage the core strengths identified in our report: the irreplaceable role of specialized ophthalmologist expertise, deep understanding of Parisian consumer behavior, and strategic adaptation to France's healthcare framework. The projected 2024 revenue impact is €580,000+ from these initiatives alone.</w:t>
      </w:r>
    </w:p>
    <w:bookmarkEnd w:id="26"/>
    <w:bookmarkStart w:id="27" w:name="conclusion"/>
    <w:p>
      <w:pPr>
        <w:pStyle w:val="Heading2"/>
      </w:pPr>
      <w:r>
        <w:t xml:space="preserve">Conclusion</w:t>
      </w:r>
    </w:p>
    <w:p>
      <w:pPr>
        <w:pStyle w:val="FirstParagraph"/>
      </w:pPr>
      <w:r>
        <w:t xml:space="preserve">This Sales Report unequivocally demonstrates that in the France Paris ophthalmology market, exceptional physician expertise combined with culturally attuned sales strategies creates unparalleled commercial success. Our practice's 18.7% year-over-year revenue growth – significantly outperforming both national benchmarks and our own projections – is a testament to this model. The data confirms that patients in France Paris prioritize the ophthalmologist's clinical authority over price or convenience, making physician engagement the central pillar of our sales architecture.</w:t>
      </w:r>
    </w:p>
    <w:p>
      <w:pPr>
        <w:pStyle w:val="BodyText"/>
      </w:pPr>
      <w:r>
        <w:t xml:space="preserve">As we move into 2024, OptiVision Paris will deepen its position as France's premier destination for premium vision care. By maintaining our focus on high-value ophthalmologist-patient relationships while innovating within France's regulatory landscape, we are positioned to capture an even greater share of the €850 million Parisian eye care market. Our Sales Report makes clear: In France Paris, it is not merely about selling eye care – it is about delivering trusted vision solutions through world-class ophthalmologist leadership.</w:t>
      </w:r>
    </w:p>
    <w:bookmarkEnd w:id="27"/>
    <w:p>
      <w:pPr>
        <w:pStyle w:val="BodyText"/>
      </w:pPr>
      <w:r>
        <w:t xml:space="preserve">Report Prepared By: OptiVision Paris Strategic Analytics Team</w:t>
      </w:r>
    </w:p>
    <w:p>
      <w:pPr>
        <w:pStyle w:val="BodyText"/>
      </w:pPr>
      <w:r>
        <w:t xml:space="preserve">This document constitutes confidential sales intelligence for internal use only. Distribution requires written authorization from the Chief Revenue Officer.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France Paris</dc:title>
  <dc:creator/>
  <dc:language>en</dc:language>
  <cp:keywords/>
  <dcterms:created xsi:type="dcterms:W3CDTF">2025-12-10T01:09:01Z</dcterms:created>
  <dcterms:modified xsi:type="dcterms:W3CDTF">2025-12-10T01:09:01Z</dcterms:modified>
</cp:coreProperties>
</file>

<file path=docProps/custom.xml><?xml version="1.0" encoding="utf-8"?>
<Properties xmlns="http://schemas.openxmlformats.org/officeDocument/2006/custom-properties" xmlns:vt="http://schemas.openxmlformats.org/officeDocument/2006/docPropsVTypes"/>
</file>